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ook w:firstColumn="1" w:firstRow="1" w:lastColumn="0" w:lastRow="0" w:noHBand="0" w:noVBand="1" w:val="04A0"/>
        <w:tblW w:w="7938" w:type="dxa"/>
        <w:tblLayout w:type="fixed"/>
      </w:tblPr>
      <w:tblGrid>
        <w:gridCol w:w="5670"/>
        <w:gridCol w:w="2268"/>
      </w:tblGrid>
      <w:tr>
        <w:tc>
          <w:tcPr>
            <w:shd w:val="clear" w:color="auto" w:fill="1A365D"/>
            <w:vAlign w:val="center"/>
            <w:tcW w:w="5670" w:type="dxa"/>
          </w:tcPr>
          <w:p>
            <w:pPr>
              <w:spacing w:before="120" w:after="120"/>
            </w:pPr>
            <w:r>
              <w:rPr>
                <w:rFonts w:ascii="Calibri" w:hAnsi="Calibri"/>
                <w:b/>
                <w:i w:val="0"/>
                <w:color w:val="FFFFFF"/>
                <w:sz w:val="44"/>
              </w:rPr>
              <w:t>Lighthief</w:t>
            </w:r>
            <w:r>
              <w:rPr>
                <w:rFonts w:ascii="Calibri" w:hAnsi="Calibri"/>
                <w:b w:val="0"/>
                <w:i w:val="0"/>
                <w:color w:val="FFFFFF"/>
                <w:sz w:val="22"/>
              </w:rPr>
              <w:t xml:space="preserve"> Cyprus Ltd</w:t>
            </w:r>
          </w:p>
        </w:tc>
        <w:tc>
          <w:tcPr>
            <w:shd w:val="clear" w:color="auto" w:fill="1A365D"/>
            <w:vAlign w:val="center"/>
            <w:tcW w:w="2268" w:type="dxa"/>
          </w:tcPr>
          <w:p>
            <w:pPr>
              <w:spacing w:before="120" w:after="120"/>
              <w:jc w:val="right"/>
            </w:pPr>
            <w:r>
              <w:rPr>
                <w:rFonts w:ascii="Calibri" w:hAnsi="Calibri"/>
                <w:b/>
                <w:i w:val="0"/>
                <w:color w:val="C9A432"/>
                <w:sz w:val="16"/>
              </w:rPr>
              <w:t>LETTER OF INTENT</w:t>
              <w:br/>
            </w:r>
            <w:r>
              <w:rPr>
                <w:rFonts w:ascii="Calibri" w:hAnsi="Calibri"/>
                <w:b w:val="0"/>
                <w:i w:val="0"/>
                <w:color w:val="FFFFFF"/>
                <w:sz w:val="16"/>
              </w:rPr>
              <w:t>Ref: LCY-LOI-ESP-PIPELINE-2026-R7</w:t>
              <w:br/>
            </w:r>
            <w:r>
              <w:rPr>
                <w:rFonts w:ascii="Calibri" w:hAnsi="Calibri"/>
                <w:b w:val="0"/>
                <w:i w:val="0"/>
                <w:color w:val="FFFFFF"/>
                <w:sz w:val="16"/>
              </w:rPr>
              <w:t>Date: May 2026</w:t>
              <w:br/>
            </w:r>
            <w:r>
              <w:rPr>
                <w:rFonts w:ascii="Calibri" w:hAnsi="Calibri"/>
                <w:b/>
                <w:i w:val="0"/>
                <w:color w:val="C9A432"/>
                <w:sz w:val="16"/>
              </w:rPr>
              <w:t>STRICTLY CONFIDENTIAL</w:t>
              <w:br/>
            </w:r>
          </w:p>
        </w:tc>
      </w:tr>
    </w:tbl>
    <w:p>
      <w:pPr>
        <w:spacing w:after="40"/>
      </w:pPr>
    </w:p>
    <w:p>
      <w:r>
        <w:rPr>
          <w:rFonts w:ascii="Calibri" w:hAnsi="Calibri"/>
          <w:b/>
          <w:i w:val="0"/>
          <w:color w:val="1A365D"/>
          <w:sz w:val="36"/>
        </w:rPr>
        <w:t>Letter of Intent</w:t>
      </w:r>
    </w:p>
    <w:p>
      <w:r>
        <w:rPr>
          <w:rFonts w:ascii="Calibri" w:hAnsi="Calibri"/>
          <w:b w:val="0"/>
          <w:i/>
          <w:color w:val="404040"/>
          <w:sz w:val="22"/>
        </w:rPr>
        <w:t>Esperia Energy Group — BESS Pipeline Commitment (Schedule 1)</w:t>
      </w:r>
    </w:p>
    <w:p>
      <w:pPr>
        <w:spacing w:before="320" w:after="80"/>
      </w:pPr>
      <w:r>
        <w:rPr>
          <w:rFonts w:ascii="Calibri" w:hAnsi="Calibri"/>
          <w:b/>
          <w:i w:val="0"/>
          <w:color w:val="C9A432"/>
          <w:sz w:val="24"/>
        </w:rPr>
        <w:t>PARTIES</w:t>
      </w:r>
    </w:p>
    <w:tbl>
      <w:tblPr>
        <w:jc w:val="left"/>
        <w:tblLook w:firstColumn="1" w:firstRow="1" w:lastColumn="0" w:lastRow="0" w:noHBand="0" w:noVBand="1" w:val="04A0"/>
        <w:tblW w:w="7937" w:type="dxa"/>
        <w:tblLayout w:type="fixed"/>
      </w:tblPr>
      <w:tblGrid>
        <w:gridCol w:w="1417"/>
        <w:gridCol w:w="6520"/>
      </w:tblGrid>
      <w:tr>
        <w:tc>
          <w:tcPr>
            <w:shd w:val="clear" w:color="auto" w:fill="1A365D"/>
            <w:vAlign w:val="center"/>
            <w:tcW w:w="1417" w:type="dxa"/>
          </w:tcPr>
          <w:p>
            <w:pPr>
              <w:jc w:val="center"/>
            </w:pPr>
            <w:r>
              <w:rPr>
                <w:rFonts w:ascii="Calibri" w:hAnsi="Calibri"/>
                <w:b/>
                <w:i w:val="0"/>
                <w:color w:val="FFFFFF"/>
                <w:sz w:val="20"/>
              </w:rPr>
              <w:t>Contractor</w:t>
            </w:r>
          </w:p>
        </w:tc>
        <w:tc>
          <w:tcPr>
            <w:tcW w:w="6520" w:type="dxa"/>
          </w:tcPr>
          <w:p>
            <w:r>
              <w:rPr>
                <w:rFonts w:ascii="Calibri" w:hAnsi="Calibri"/>
                <w:b w:val="0"/>
                <w:i w:val="0"/>
                <w:color w:val="000000"/>
                <w:sz w:val="18"/>
              </w:rPr>
              <w:t>Lighthief Cyprus Ltd</w:t>
              <w:br/>
              <w:t>Registration No. HE 477423</w:t>
              <w:br/>
              <w:t>28 October Ave 249, Lophitis Business Center 1,</w:t>
              <w:br/>
              <w:t>Office 201, 3035 Limassol, Cyprus</w:t>
              <w:br/>
              <w:t>office@lighthief.com | +357 77 77 00 50</w:t>
              <w:br/>
              <w:t>(hereinafter "Lighthief" or the "Contractor")</w:t>
            </w:r>
          </w:p>
        </w:tc>
      </w:tr>
      <w:tr>
        <w:tc>
          <w:tcPr>
            <w:shd w:val="clear" w:color="auto" w:fill="1A365D"/>
            <w:vAlign w:val="center"/>
            <w:tcW w:w="1417" w:type="dxa"/>
          </w:tcPr>
          <w:p>
            <w:pPr>
              <w:jc w:val="center"/>
            </w:pPr>
            <w:r>
              <w:rPr>
                <w:rFonts w:ascii="Calibri" w:hAnsi="Calibri"/>
                <w:b/>
                <w:i w:val="0"/>
                <w:color w:val="FFFFFF"/>
                <w:sz w:val="20"/>
              </w:rPr>
              <w:t>Client</w:t>
            </w:r>
          </w:p>
        </w:tc>
        <w:tc>
          <w:tcPr>
            <w:tcW w:w="6520" w:type="dxa"/>
          </w:tcPr>
          <w:p>
            <w:r>
              <w:rPr>
                <w:rFonts w:ascii="Calibri" w:hAnsi="Calibri"/>
                <w:b w:val="0"/>
                <w:i w:val="0"/>
                <w:color w:val="000000"/>
                <w:sz w:val="18"/>
              </w:rPr>
              <w:t>Esperia Energy Group</w:t>
              <w:br/>
              <w:t>represented by: Dino Constantinou (Owner)</w:t>
              <w:br/>
              <w:t>Famagusta, Limassol and Nicosia districts, Cyprus</w:t>
              <w:br/>
              <w:br/>
              <w:t>(hereinafter "the Client")</w:t>
            </w:r>
          </w:p>
        </w:tc>
      </w:tr>
    </w:tbl>
    <w:p>
      <w:pPr>
        <w:spacing w:before="320" w:after="80"/>
      </w:pPr>
      <w:r>
        <w:rPr>
          <w:rFonts w:ascii="Calibri" w:hAnsi="Calibri"/>
          <w:b/>
          <w:i w:val="0"/>
          <w:color w:val="C9A432"/>
          <w:sz w:val="24"/>
        </w:rPr>
        <w:t>RECITALS</w:t>
      </w:r>
    </w:p>
    <w:p>
      <w:pPr>
        <w:jc w:val="both"/>
      </w:pPr>
      <w:r>
        <w:rPr>
          <w:rFonts w:ascii="Calibri" w:hAnsi="Calibri"/>
          <w:b/>
          <w:i w:val="0"/>
          <w:color w:val="1A365D"/>
          <w:sz w:val="20"/>
        </w:rPr>
        <w:t xml:space="preserve">A.  </w:t>
      </w:r>
      <w:r>
        <w:rPr>
          <w:rFonts w:ascii="Calibri" w:hAnsi="Calibri"/>
          <w:b w:val="0"/>
          <w:i w:val="0"/>
          <w:color w:val="000000"/>
          <w:sz w:val="20"/>
        </w:rPr>
        <w:t>Lighthief supplies and installs grid-connected BESS for hybrid PV projects in Cyprus.</w:t>
      </w:r>
    </w:p>
    <w:p>
      <w:pPr>
        <w:jc w:val="both"/>
      </w:pPr>
      <w:r>
        <w:rPr>
          <w:rFonts w:ascii="Calibri" w:hAnsi="Calibri"/>
          <w:b/>
          <w:i w:val="0"/>
          <w:color w:val="1A365D"/>
          <w:sz w:val="20"/>
        </w:rPr>
        <w:t xml:space="preserve">B.  </w:t>
      </w:r>
      <w:r>
        <w:rPr>
          <w:rFonts w:ascii="Calibri" w:hAnsi="Calibri"/>
          <w:b w:val="0"/>
          <w:i w:val="0"/>
          <w:color w:val="000000"/>
          <w:sz w:val="20"/>
        </w:rPr>
        <w:t>The Client (Esperia Energy Group) develops BESS projects in Famagusta, Limassol, and Nicosia.</w:t>
      </w:r>
    </w:p>
    <w:p>
      <w:pPr>
        <w:jc w:val="both"/>
      </w:pPr>
      <w:r>
        <w:rPr>
          <w:rFonts w:ascii="Calibri" w:hAnsi="Calibri"/>
          <w:b/>
          <w:i w:val="0"/>
          <w:color w:val="1A365D"/>
          <w:sz w:val="20"/>
        </w:rPr>
        <w:t xml:space="preserve">C.  </w:t>
      </w:r>
      <w:r>
        <w:rPr>
          <w:rFonts w:ascii="Calibri" w:hAnsi="Calibri"/>
          <w:b w:val="0"/>
          <w:i w:val="0"/>
          <w:color w:val="000000"/>
          <w:sz w:val="20"/>
        </w:rPr>
        <w:t>The Client wishes to commit to the nine (9) pipeline parks in Schedule 1 (73.5 MW / 305.0 MWh). Galascope 1 and Galascope 2 are covered under a separate Letter of Intent with Galascope Ltd (Ref: LCY-LOI-GAL-B1-2026).</w:t>
      </w:r>
    </w:p>
    <w:p>
      <w:pPr>
        <w:spacing w:after="160"/>
        <w:jc w:val="both"/>
      </w:pPr>
      <w:r>
        <w:rPr>
          <w:rFonts w:ascii="Calibri" w:hAnsi="Calibri"/>
          <w:b w:val="0"/>
          <w:i w:val="0"/>
          <w:color w:val="000000"/>
          <w:sz w:val="20"/>
        </w:rPr>
        <w:t>NOW THEREFORE, the Parties agree as follows:</w:t>
      </w:r>
    </w:p>
    <w:p>
      <w:pPr>
        <w:spacing w:before="320" w:after="80"/>
      </w:pPr>
      <w:r>
        <w:rPr>
          <w:rFonts w:ascii="Calibri" w:hAnsi="Calibri"/>
          <w:b/>
          <w:i w:val="0"/>
          <w:color w:val="C9A432"/>
          <w:sz w:val="24"/>
        </w:rPr>
        <w:t>1.   COMMITMENT AND PURPOSE</w:t>
      </w:r>
    </w:p>
    <w:p>
      <w:pPr>
        <w:spacing w:after="100"/>
        <w:jc w:val="both"/>
      </w:pPr>
      <w:r>
        <w:rPr>
          <w:rFonts w:ascii="Calibri" w:hAnsi="Calibri"/>
          <w:b w:val="0"/>
          <w:i w:val="0"/>
          <w:color w:val="000000"/>
          <w:sz w:val="20"/>
        </w:rPr>
        <w:t>1.1  The Client confirms its intention to award BESS EPC contracts to Lighthief for nine (9) parks in Schedule 1 (73.5 MW / 305.0 MWh). Combined indicative value €30,043,928 (excl. VAT), based on Linyang quotation LY202601271 and group-order pricing. This LOI does not include Galascope Ltd parks.</w:t>
      </w:r>
    </w:p>
    <w:p>
      <w:pPr>
        <w:spacing w:after="100"/>
        <w:jc w:val="both"/>
      </w:pPr>
      <w:r>
        <w:rPr>
          <w:rFonts w:ascii="Calibri" w:hAnsi="Calibri"/>
          <w:b w:val="0"/>
          <w:i w:val="0"/>
          <w:color w:val="000000"/>
          <w:sz w:val="20"/>
        </w:rPr>
        <w:t>1.2  This LOI supports Lighthief's procurement and OEM planning. Except where expressly stated as binding below, this LOI is not an obligation to sign any EPC; each phase EPC is binding only when signed.</w:t>
      </w:r>
    </w:p>
    <w:p>
      <w:pPr>
        <w:spacing w:after="100"/>
        <w:jc w:val="both"/>
      </w:pPr>
      <w:r>
        <w:rPr>
          <w:rFonts w:ascii="Calibri" w:hAnsi="Calibri"/>
          <w:b w:val="0"/>
          <w:i w:val="0"/>
          <w:color w:val="000000"/>
          <w:sz w:val="20"/>
        </w:rPr>
        <w:t>1.3  (Binding) If the Client withdraws from Schedule 1 after Lighthief has reasonably relied on this LOI, the Client shall reimburse documented pre-contractual costs directly incurred for Schedule 1 parks only, unless withdrawal is for a Valid Reason.</w:t>
      </w:r>
    </w:p>
    <w:p>
      <w:pPr>
        <w:spacing w:after="60"/>
        <w:jc w:val="both"/>
      </w:pPr>
      <w:r>
        <w:rPr>
          <w:rFonts w:ascii="Calibri" w:hAnsi="Calibri"/>
          <w:b w:val="0"/>
          <w:i w:val="0"/>
          <w:color w:val="000000"/>
          <w:sz w:val="20"/>
        </w:rPr>
        <w:t>Valid Reason means any of the following (with written notice and evidence):</w:t>
      </w:r>
    </w:p>
    <w:p>
      <w:pPr>
        <w:pStyle w:val="ListBullet"/>
        <w:spacing w:after="40"/>
        <w:ind w:left="283"/>
      </w:pPr>
      <w:r>
        <w:rPr>
          <w:rFonts w:ascii="Calibri" w:hAnsi="Calibri"/>
          <w:b w:val="0"/>
          <w:i w:val="0"/>
          <w:color w:val="000000"/>
          <w:sz w:val="20"/>
        </w:rPr>
        <w:t>(a) the Client fails to obtain grid Connection Terms / licence for a park within the EPC longstop and elects not to proceed with that park;</w:t>
      </w:r>
    </w:p>
    <w:p>
      <w:pPr>
        <w:pStyle w:val="ListBullet"/>
        <w:spacing w:after="40"/>
        <w:ind w:left="283"/>
      </w:pPr>
      <w:r>
        <w:rPr>
          <w:rFonts w:ascii="Calibri" w:hAnsi="Calibri"/>
          <w:b w:val="0"/>
          <w:i w:val="0"/>
          <w:color w:val="000000"/>
          <w:sz w:val="20"/>
        </w:rPr>
        <w:t>(b) a change in law, regulation, or DSO/EAC requirement makes BESS installation at a listed park unlawful or technically impossible, certified by a qualified adviser;</w:t>
      </w:r>
    </w:p>
    <w:p>
      <w:pPr>
        <w:pStyle w:val="ListBullet"/>
        <w:spacing w:after="40"/>
        <w:ind w:left="283"/>
      </w:pPr>
      <w:r>
        <w:rPr>
          <w:rFonts w:ascii="Calibri" w:hAnsi="Calibri"/>
          <w:b w:val="0"/>
          <w:i w:val="0"/>
          <w:color w:val="000000"/>
          <w:sz w:val="20"/>
        </w:rPr>
        <w:t>(c) mutual written agreement to terminate this LOI or a park;</w:t>
      </w:r>
    </w:p>
    <w:p>
      <w:pPr>
        <w:pStyle w:val="ListBullet"/>
        <w:spacing w:after="40"/>
        <w:ind w:left="283"/>
      </w:pPr>
      <w:r>
        <w:rPr>
          <w:rFonts w:ascii="Calibri" w:hAnsi="Calibri"/>
          <w:b w:val="0"/>
          <w:i w:val="0"/>
          <w:color w:val="000000"/>
          <w:sz w:val="20"/>
        </w:rPr>
        <w:t>(d) Lighthief materially breaches this LOI or an executed EPC and does not remedy within thirty (30) days of notice;</w:t>
      </w:r>
    </w:p>
    <w:p>
      <w:pPr>
        <w:pStyle w:val="ListBullet"/>
        <w:spacing w:after="40"/>
        <w:ind w:left="283"/>
      </w:pPr>
      <w:r>
        <w:rPr>
          <w:rFonts w:ascii="Calibri" w:hAnsi="Calibri"/>
          <w:b w:val="0"/>
          <w:i w:val="0"/>
          <w:color w:val="000000"/>
          <w:sz w:val="20"/>
        </w:rPr>
        <w:t>(e) the Client formally removes a park from its development portfolio with thirty (30) days' notice before Lighthief incurs new third-party costs for that park.</w:t>
      </w:r>
    </w:p>
    <w:p>
      <w:pPr>
        <w:spacing w:after="60"/>
        <w:jc w:val="both"/>
      </w:pPr>
      <w:r>
        <w:rPr>
          <w:rFonts w:ascii="Calibri" w:hAnsi="Calibri"/>
          <w:b w:val="0"/>
          <w:i w:val="0"/>
          <w:color w:val="000000"/>
          <w:sz w:val="20"/>
        </w:rPr>
        <w:t>Documented pre-contractual costs means third-party costs actually paid or contractually committed (with invoices, contracts, or payment proofs) and directly attributable to Schedule 1 parks, limited to:</w:t>
      </w:r>
    </w:p>
    <w:p>
      <w:pPr>
        <w:pStyle w:val="ListBullet"/>
        <w:spacing w:after="40"/>
        <w:ind w:left="283"/>
      </w:pPr>
      <w:r>
        <w:rPr>
          <w:rFonts w:ascii="Calibri" w:hAnsi="Calibri"/>
          <w:b w:val="0"/>
          <w:i w:val="0"/>
          <w:color w:val="000000"/>
          <w:sz w:val="20"/>
        </w:rPr>
        <w:t>EAC / DSO application fees, grid-connection submissions, and related authority charges;</w:t>
      </w:r>
    </w:p>
    <w:p>
      <w:pPr>
        <w:pStyle w:val="ListBullet"/>
        <w:spacing w:after="40"/>
        <w:ind w:left="283"/>
      </w:pPr>
      <w:r>
        <w:rPr>
          <w:rFonts w:ascii="Calibri" w:hAnsi="Calibri"/>
          <w:b w:val="0"/>
          <w:i w:val="0"/>
          <w:color w:val="000000"/>
          <w:sz w:val="20"/>
        </w:rPr>
        <w:t>third-party contractors engaged for listed parks (e.g. electrical design, geotechnical or civil studies, planning, environmental or technical reports);</w:t>
      </w:r>
    </w:p>
    <w:p>
      <w:pPr>
        <w:pStyle w:val="ListBullet"/>
        <w:spacing w:after="40"/>
        <w:ind w:left="283"/>
      </w:pPr>
      <w:r>
        <w:rPr>
          <w:rFonts w:ascii="Calibri" w:hAnsi="Calibri"/>
          <w:b w:val="0"/>
          <w:i w:val="0"/>
          <w:color w:val="000000"/>
          <w:sz w:val="20"/>
        </w:rPr>
        <w:t>OEM (Linyang) reservation, batch planning, or prepayment deposits invoiced to Lighthief for equipment referable to Schedule 1;</w:t>
      </w:r>
    </w:p>
    <w:p>
      <w:pPr>
        <w:pStyle w:val="ListBullet"/>
        <w:spacing w:after="40"/>
        <w:ind w:left="283"/>
      </w:pPr>
      <w:r>
        <w:rPr>
          <w:rFonts w:ascii="Calibri" w:hAnsi="Calibri"/>
          <w:b w:val="0"/>
          <w:i w:val="0"/>
          <w:color w:val="000000"/>
          <w:sz w:val="20"/>
        </w:rPr>
        <w:t>submitted studies and filings ordered before withdrawal (e.g. EIA, grid impact, connection studies) with dated deliverables.</w:t>
      </w:r>
    </w:p>
    <w:p>
      <w:pPr>
        <w:spacing w:after="100"/>
        <w:jc w:val="both"/>
      </w:pPr>
      <w:r>
        <w:rPr>
          <w:rFonts w:ascii="Calibri" w:hAnsi="Calibri"/>
          <w:b w:val="0"/>
          <w:i w:val="0"/>
          <w:color w:val="000000"/>
          <w:sz w:val="20"/>
        </w:rPr>
        <w:t>Excluded: Client internal staff time, overhead, financing costs, and any work not linked to a Schedule 1 park. Lighthief shall provide a cost schedule with supporting documents within twenty (20) Business Days of a reimbursement request.</w:t>
      </w:r>
    </w:p>
    <w:p>
      <w:pPr>
        <w:spacing w:before="320" w:after="80"/>
      </w:pPr>
      <w:r>
        <w:rPr>
          <w:rFonts w:ascii="Calibri" w:hAnsi="Calibri"/>
          <w:b/>
          <w:i w:val="0"/>
          <w:color w:val="C9A432"/>
          <w:sz w:val="24"/>
        </w:rPr>
        <w:t>2.   SCHEDULE 1 — PARKS AND INDICATIVE PRICING</w:t>
      </w:r>
    </w:p>
    <w:p>
      <w:pPr>
        <w:spacing w:after="100"/>
        <w:jc w:val="both"/>
      </w:pPr>
      <w:r>
        <w:rPr>
          <w:rFonts w:ascii="Calibri" w:hAnsi="Calibri"/>
          <w:b w:val="0"/>
          <w:i w:val="0"/>
          <w:color w:val="000000"/>
          <w:sz w:val="20"/>
        </w:rPr>
        <w:t>Schedule 1 figures are Indicative Prices only. Final terms are set under Section 4 and in each executed EPC (Lighthief template v5.1 or successor).</w:t>
      </w:r>
    </w:p>
    <w:tbl>
      <w:tblPr>
        <w:tblLook w:firstColumn="1" w:firstRow="1" w:lastColumn="0" w:lastRow="0" w:noHBand="0" w:noVBand="1" w:val="04A0"/>
        <w:tblW w:w="7936" w:type="dxa"/>
        <w:tblLayout w:type="fixed"/>
      </w:tblPr>
      <w:tblGrid>
        <w:gridCol w:w="1984"/>
        <w:gridCol w:w="1984"/>
        <w:gridCol w:w="1984"/>
        <w:gridCol w:w="1984"/>
      </w:tblGrid>
      <w:tr>
        <w:tc>
          <w:tcPr>
            <w:shd w:val="clear" w:color="auto" w:fill="EBF0F7"/>
            <w:tcW w:w="1984" w:type="dxa"/>
          </w:tcPr>
          <w:p>
            <w:pPr>
              <w:jc w:val="center"/>
            </w:pPr>
            <w:r>
              <w:rPr>
                <w:rFonts w:ascii="Calibri" w:hAnsi="Calibri"/>
                <w:b/>
                <w:i w:val="0"/>
                <w:color w:val="1A365D"/>
                <w:sz w:val="24"/>
              </w:rPr>
              <w:t>9 Parks</w:t>
              <w:br/>
            </w:r>
            <w:r>
              <w:rPr>
                <w:rFonts w:ascii="Calibri" w:hAnsi="Calibri"/>
                <w:b w:val="0"/>
                <w:i w:val="0"/>
                <w:color w:val="404040"/>
                <w:sz w:val="15"/>
              </w:rPr>
              <w:t>Schedule 1 Total</w:t>
            </w:r>
          </w:p>
        </w:tc>
        <w:tc>
          <w:tcPr>
            <w:shd w:val="clear" w:color="auto" w:fill="EBF0F7"/>
            <w:tcW w:w="1984" w:type="dxa"/>
          </w:tcPr>
          <w:p>
            <w:pPr>
              <w:jc w:val="center"/>
            </w:pPr>
            <w:r>
              <w:rPr>
                <w:rFonts w:ascii="Calibri" w:hAnsi="Calibri"/>
                <w:b/>
                <w:i w:val="0"/>
                <w:color w:val="1A365D"/>
                <w:sz w:val="24"/>
              </w:rPr>
              <w:t>73.49 MW</w:t>
              <w:br/>
            </w:r>
            <w:r>
              <w:rPr>
                <w:rFonts w:ascii="Calibri" w:hAnsi="Calibri"/>
                <w:b w:val="0"/>
                <w:i w:val="0"/>
                <w:color w:val="404040"/>
                <w:sz w:val="15"/>
              </w:rPr>
              <w:t>Total BESS Power</w:t>
            </w:r>
          </w:p>
        </w:tc>
        <w:tc>
          <w:tcPr>
            <w:shd w:val="clear" w:color="auto" w:fill="EBF0F7"/>
            <w:tcW w:w="1984" w:type="dxa"/>
          </w:tcPr>
          <w:p>
            <w:pPr>
              <w:jc w:val="center"/>
            </w:pPr>
            <w:r>
              <w:rPr>
                <w:rFonts w:ascii="Calibri" w:hAnsi="Calibri"/>
                <w:b/>
                <w:i w:val="0"/>
                <w:color w:val="1A365D"/>
                <w:sz w:val="24"/>
              </w:rPr>
              <w:t>305.0 MWh</w:t>
              <w:br/>
            </w:r>
            <w:r>
              <w:rPr>
                <w:rFonts w:ascii="Calibri" w:hAnsi="Calibri"/>
                <w:b w:val="0"/>
                <w:i w:val="0"/>
                <w:color w:val="404040"/>
                <w:sz w:val="15"/>
              </w:rPr>
              <w:t>Total BESS Energy</w:t>
            </w:r>
          </w:p>
        </w:tc>
        <w:tc>
          <w:tcPr>
            <w:shd w:val="clear" w:color="auto" w:fill="EBF0F7"/>
            <w:tcW w:w="1984" w:type="dxa"/>
          </w:tcPr>
          <w:p>
            <w:pPr>
              <w:jc w:val="center"/>
            </w:pPr>
            <w:r>
              <w:rPr>
                <w:rFonts w:ascii="Calibri" w:hAnsi="Calibri"/>
                <w:b/>
                <w:i w:val="0"/>
                <w:color w:val="1A365D"/>
                <w:sz w:val="24"/>
              </w:rPr>
              <w:t>€30,043,928</w:t>
              <w:br/>
            </w:r>
            <w:r>
              <w:rPr>
                <w:rFonts w:ascii="Calibri" w:hAnsi="Calibri"/>
                <w:b w:val="0"/>
                <w:i w:val="0"/>
                <w:color w:val="404040"/>
                <w:sz w:val="15"/>
              </w:rPr>
              <w:t>Indicative Value (ex. VAT)</w:t>
            </w:r>
          </w:p>
        </w:tc>
      </w:tr>
    </w:tbl>
    <w:tbl>
      <w:tblPr>
        <w:jc w:val="left"/>
        <w:tblLook w:firstColumn="1" w:firstRow="1" w:lastColumn="0" w:lastRow="0" w:noHBand="0" w:noVBand="1" w:val="04A0"/>
        <w:tblW w:w="7935" w:type="dxa"/>
        <w:tblLayout w:type="fixed"/>
      </w:tblPr>
      <w:tblGrid>
        <w:gridCol w:w="3402"/>
        <w:gridCol w:w="1020"/>
        <w:gridCol w:w="793"/>
        <w:gridCol w:w="793"/>
        <w:gridCol w:w="1927"/>
      </w:tblGrid>
      <w:tr>
        <w:tc>
          <w:tcPr>
            <w:shd w:val="clear" w:color="auto" w:fill="1A365D"/>
            <w:vAlign w:val="center"/>
            <w:tcW w:w="3402" w:type="dxa"/>
          </w:tcPr>
          <w:p>
            <w:pPr>
              <w:jc w:val="center"/>
            </w:pPr>
            <w:r>
              <w:rPr>
                <w:rFonts w:ascii="Calibri" w:hAnsi="Calibri"/>
                <w:b/>
                <w:i w:val="0"/>
                <w:color w:val="FFFFFF"/>
                <w:sz w:val="16"/>
              </w:rPr>
              <w:t>Park / Project</w:t>
            </w:r>
          </w:p>
        </w:tc>
        <w:tc>
          <w:tcPr>
            <w:shd w:val="clear" w:color="auto" w:fill="1A365D"/>
            <w:vAlign w:val="center"/>
            <w:tcW w:w="1020" w:type="dxa"/>
          </w:tcPr>
          <w:p>
            <w:pPr>
              <w:jc w:val="center"/>
            </w:pPr>
            <w:r>
              <w:rPr>
                <w:rFonts w:ascii="Calibri" w:hAnsi="Calibri"/>
                <w:b/>
                <w:i w:val="0"/>
                <w:color w:val="FFFFFF"/>
                <w:sz w:val="16"/>
              </w:rPr>
              <w:t>District</w:t>
            </w:r>
          </w:p>
        </w:tc>
        <w:tc>
          <w:tcPr>
            <w:shd w:val="clear" w:color="auto" w:fill="1A365D"/>
            <w:vAlign w:val="center"/>
            <w:tcW w:w="793" w:type="dxa"/>
          </w:tcPr>
          <w:p>
            <w:pPr>
              <w:jc w:val="center"/>
            </w:pPr>
            <w:r>
              <w:rPr>
                <w:rFonts w:ascii="Calibri" w:hAnsi="Calibri"/>
                <w:b/>
                <w:i w:val="0"/>
                <w:color w:val="FFFFFF"/>
                <w:sz w:val="16"/>
              </w:rPr>
              <w:t>MW</w:t>
            </w:r>
          </w:p>
        </w:tc>
        <w:tc>
          <w:tcPr>
            <w:shd w:val="clear" w:color="auto" w:fill="1A365D"/>
            <w:vAlign w:val="center"/>
            <w:tcW w:w="793" w:type="dxa"/>
          </w:tcPr>
          <w:p>
            <w:pPr>
              <w:jc w:val="center"/>
            </w:pPr>
            <w:r>
              <w:rPr>
                <w:rFonts w:ascii="Calibri" w:hAnsi="Calibri"/>
                <w:b/>
                <w:i w:val="0"/>
                <w:color w:val="FFFFFF"/>
                <w:sz w:val="16"/>
              </w:rPr>
              <w:t>MWh</w:t>
            </w:r>
          </w:p>
        </w:tc>
        <w:tc>
          <w:tcPr>
            <w:shd w:val="clear" w:color="auto" w:fill="1A365D"/>
            <w:vAlign w:val="center"/>
            <w:tcW w:w="1927" w:type="dxa"/>
          </w:tcPr>
          <w:p>
            <w:pPr>
              <w:jc w:val="center"/>
            </w:pPr>
            <w:r>
              <w:rPr>
                <w:rFonts w:ascii="Calibri" w:hAnsi="Calibri"/>
                <w:b/>
                <w:i w:val="0"/>
                <w:color w:val="FFFFFF"/>
                <w:sz w:val="16"/>
              </w:rPr>
              <w:t>Indicative Price (ex. VAT)</w:t>
            </w:r>
          </w:p>
        </w:tc>
      </w:tr>
      <w:tr>
        <w:tc>
          <w:tcPr>
            <w:tcW w:w="3402" w:type="dxa"/>
          </w:tcPr>
          <w:p>
            <w:pPr>
              <w:jc w:val="left"/>
            </w:pPr>
            <w:r>
              <w:rPr>
                <w:rFonts w:ascii="Calibri" w:hAnsi="Calibri"/>
                <w:b w:val="0"/>
                <w:i w:val="0"/>
                <w:color w:val="000000"/>
                <w:sz w:val="17"/>
              </w:rPr>
              <w:t>Esperia Energy (Famagusta)</w:t>
            </w:r>
          </w:p>
        </w:tc>
        <w:tc>
          <w:tcPr>
            <w:tcW w:w="1020" w:type="dxa"/>
          </w:tcPr>
          <w:p>
            <w:pPr>
              <w:jc w:val="center"/>
            </w:pPr>
            <w:r>
              <w:rPr>
                <w:rFonts w:ascii="Calibri" w:hAnsi="Calibri"/>
                <w:b w:val="0"/>
                <w:i w:val="0"/>
                <w:color w:val="000000"/>
                <w:sz w:val="17"/>
              </w:rPr>
              <w:t>Famagusta</w:t>
            </w:r>
          </w:p>
        </w:tc>
        <w:tc>
          <w:tcPr>
            <w:tcW w:w="793" w:type="dxa"/>
          </w:tcPr>
          <w:p>
            <w:pPr>
              <w:jc w:val="right"/>
            </w:pPr>
            <w:r>
              <w:rPr>
                <w:rFonts w:ascii="Calibri" w:hAnsi="Calibri"/>
                <w:b w:val="0"/>
                <w:i w:val="0"/>
                <w:color w:val="000000"/>
                <w:sz w:val="17"/>
              </w:rPr>
              <w:t>6.50</w:t>
            </w:r>
          </w:p>
        </w:tc>
        <w:tc>
          <w:tcPr>
            <w:tcW w:w="793" w:type="dxa"/>
          </w:tcPr>
          <w:p>
            <w:pPr>
              <w:jc w:val="right"/>
            </w:pPr>
            <w:r>
              <w:rPr>
                <w:rFonts w:ascii="Calibri" w:hAnsi="Calibri"/>
                <w:b w:val="0"/>
                <w:i w:val="0"/>
                <w:color w:val="000000"/>
                <w:sz w:val="17"/>
              </w:rPr>
              <w:t>20.0</w:t>
            </w:r>
          </w:p>
        </w:tc>
        <w:tc>
          <w:tcPr>
            <w:tcW w:w="1927" w:type="dxa"/>
          </w:tcPr>
          <w:p>
            <w:pPr>
              <w:jc w:val="right"/>
            </w:pPr>
            <w:r>
              <w:rPr>
                <w:rFonts w:ascii="Calibri" w:hAnsi="Calibri"/>
                <w:b w:val="0"/>
                <w:i w:val="0"/>
                <w:color w:val="000000"/>
                <w:sz w:val="17"/>
              </w:rPr>
              <w:t>€2,316,815</w:t>
            </w:r>
          </w:p>
        </w:tc>
      </w:tr>
      <w:tr>
        <w:tc>
          <w:tcPr>
            <w:tcW w:w="3402" w:type="dxa"/>
          </w:tcPr>
          <w:p>
            <w:pPr>
              <w:jc w:val="left"/>
            </w:pPr>
            <w:r>
              <w:rPr>
                <w:rFonts w:ascii="Calibri" w:hAnsi="Calibri"/>
                <w:b w:val="0"/>
                <w:i w:val="0"/>
                <w:color w:val="000000"/>
                <w:sz w:val="17"/>
              </w:rPr>
              <w:t>Esperia Green Energy (Limassol)</w:t>
            </w:r>
          </w:p>
        </w:tc>
        <w:tc>
          <w:tcPr>
            <w:tcW w:w="1020" w:type="dxa"/>
          </w:tcPr>
          <w:p>
            <w:pPr>
              <w:jc w:val="center"/>
            </w:pPr>
            <w:r>
              <w:rPr>
                <w:rFonts w:ascii="Calibri" w:hAnsi="Calibri"/>
                <w:b w:val="0"/>
                <w:i w:val="0"/>
                <w:color w:val="000000"/>
                <w:sz w:val="17"/>
              </w:rPr>
              <w:t>Limassol</w:t>
            </w:r>
          </w:p>
        </w:tc>
        <w:tc>
          <w:tcPr>
            <w:tcW w:w="793" w:type="dxa"/>
          </w:tcPr>
          <w:p>
            <w:pPr>
              <w:jc w:val="right"/>
            </w:pPr>
            <w:r>
              <w:rPr>
                <w:rFonts w:ascii="Calibri" w:hAnsi="Calibri"/>
                <w:b w:val="0"/>
                <w:i w:val="0"/>
                <w:color w:val="000000"/>
                <w:sz w:val="17"/>
              </w:rPr>
              <w:t>8.00</w:t>
            </w:r>
          </w:p>
        </w:tc>
        <w:tc>
          <w:tcPr>
            <w:tcW w:w="793" w:type="dxa"/>
          </w:tcPr>
          <w:p>
            <w:pPr>
              <w:jc w:val="right"/>
            </w:pPr>
            <w:r>
              <w:rPr>
                <w:rFonts w:ascii="Calibri" w:hAnsi="Calibri"/>
                <w:b w:val="0"/>
                <w:i w:val="0"/>
                <w:color w:val="000000"/>
                <w:sz w:val="17"/>
              </w:rPr>
              <w:t>60.0</w:t>
            </w:r>
          </w:p>
        </w:tc>
        <w:tc>
          <w:tcPr>
            <w:tcW w:w="1927" w:type="dxa"/>
          </w:tcPr>
          <w:p>
            <w:pPr>
              <w:jc w:val="right"/>
            </w:pPr>
            <w:r>
              <w:rPr>
                <w:rFonts w:ascii="Calibri" w:hAnsi="Calibri"/>
                <w:b w:val="0"/>
                <w:i w:val="0"/>
                <w:color w:val="000000"/>
                <w:sz w:val="17"/>
              </w:rPr>
              <w:t>€5,644,044</w:t>
            </w:r>
          </w:p>
        </w:tc>
      </w:tr>
      <w:tr>
        <w:tc>
          <w:tcPr>
            <w:tcW w:w="3402" w:type="dxa"/>
          </w:tcPr>
          <w:p>
            <w:pPr>
              <w:jc w:val="left"/>
            </w:pPr>
            <w:r>
              <w:rPr>
                <w:rFonts w:ascii="Calibri" w:hAnsi="Calibri"/>
                <w:b w:val="0"/>
                <w:i w:val="0"/>
                <w:color w:val="000000"/>
                <w:sz w:val="17"/>
              </w:rPr>
              <w:t>Esperia Energy (Frenaros)</w:t>
            </w:r>
          </w:p>
        </w:tc>
        <w:tc>
          <w:tcPr>
            <w:tcW w:w="1020" w:type="dxa"/>
          </w:tcPr>
          <w:p>
            <w:pPr>
              <w:jc w:val="center"/>
            </w:pPr>
            <w:r>
              <w:rPr>
                <w:rFonts w:ascii="Calibri" w:hAnsi="Calibri"/>
                <w:b w:val="0"/>
                <w:i w:val="0"/>
                <w:color w:val="000000"/>
                <w:sz w:val="17"/>
              </w:rPr>
              <w:t>Famagusta</w:t>
            </w:r>
          </w:p>
        </w:tc>
        <w:tc>
          <w:tcPr>
            <w:tcW w:w="793" w:type="dxa"/>
          </w:tcPr>
          <w:p>
            <w:pPr>
              <w:jc w:val="right"/>
            </w:pPr>
            <w:r>
              <w:rPr>
                <w:rFonts w:ascii="Calibri" w:hAnsi="Calibri"/>
                <w:b w:val="0"/>
                <w:i w:val="0"/>
                <w:color w:val="000000"/>
                <w:sz w:val="17"/>
              </w:rPr>
              <w:t>25.00</w:t>
            </w:r>
          </w:p>
        </w:tc>
        <w:tc>
          <w:tcPr>
            <w:tcW w:w="793" w:type="dxa"/>
          </w:tcPr>
          <w:p>
            <w:pPr>
              <w:jc w:val="right"/>
            </w:pPr>
            <w:r>
              <w:rPr>
                <w:rFonts w:ascii="Calibri" w:hAnsi="Calibri"/>
                <w:b w:val="0"/>
                <w:i w:val="0"/>
                <w:color w:val="000000"/>
                <w:sz w:val="17"/>
              </w:rPr>
              <w:t>100.0</w:t>
            </w:r>
          </w:p>
        </w:tc>
        <w:tc>
          <w:tcPr>
            <w:tcW w:w="1927" w:type="dxa"/>
          </w:tcPr>
          <w:p>
            <w:pPr>
              <w:jc w:val="right"/>
            </w:pPr>
            <w:r>
              <w:rPr>
                <w:rFonts w:ascii="Calibri" w:hAnsi="Calibri"/>
                <w:b w:val="0"/>
                <w:i w:val="0"/>
                <w:color w:val="000000"/>
                <w:sz w:val="17"/>
              </w:rPr>
              <w:t>€10,088,014</w:t>
            </w:r>
          </w:p>
        </w:tc>
      </w:tr>
      <w:tr>
        <w:tc>
          <w:tcPr>
            <w:shd w:val="clear" w:color="auto" w:fill="1A365D"/>
            <w:tcW w:w="3402" w:type="dxa"/>
          </w:tcPr>
          <w:p>
            <w:pPr>
              <w:jc w:val="left"/>
            </w:pPr>
            <w:r>
              <w:rPr>
                <w:rFonts w:ascii="Calibri" w:hAnsi="Calibri"/>
                <w:b/>
                <w:i w:val="0"/>
                <w:color w:val="FFFFFF"/>
                <w:sz w:val="17"/>
              </w:rPr>
              <w:t>Phase 1 — 2026 Delivery (Esperia pipeline) — Subtotal</w:t>
            </w:r>
          </w:p>
        </w:tc>
        <w:tc>
          <w:tcPr>
            <w:shd w:val="clear" w:color="auto" w:fill="1A365D"/>
            <w:tcW w:w="1020" w:type="dxa"/>
          </w:tcPr>
          <w:p>
            <w:pPr>
              <w:jc w:val="center"/>
            </w:pPr>
            <w:r>
              <w:rPr>
                <w:rFonts w:ascii="Calibri" w:hAnsi="Calibri"/>
                <w:b/>
                <w:i w:val="0"/>
                <w:color w:val="FFFFFF"/>
                <w:sz w:val="17"/>
              </w:rPr>
            </w:r>
          </w:p>
        </w:tc>
        <w:tc>
          <w:tcPr>
            <w:shd w:val="clear" w:color="auto" w:fill="1A365D"/>
            <w:tcW w:w="793" w:type="dxa"/>
          </w:tcPr>
          <w:p>
            <w:pPr>
              <w:jc w:val="right"/>
            </w:pPr>
            <w:r>
              <w:rPr>
                <w:rFonts w:ascii="Calibri" w:hAnsi="Calibri"/>
                <w:b/>
                <w:i w:val="0"/>
                <w:color w:val="FFFFFF"/>
                <w:sz w:val="17"/>
              </w:rPr>
              <w:t>39.50</w:t>
            </w:r>
          </w:p>
        </w:tc>
        <w:tc>
          <w:tcPr>
            <w:shd w:val="clear" w:color="auto" w:fill="1A365D"/>
            <w:tcW w:w="793" w:type="dxa"/>
          </w:tcPr>
          <w:p>
            <w:pPr>
              <w:jc w:val="right"/>
            </w:pPr>
            <w:r>
              <w:rPr>
                <w:rFonts w:ascii="Calibri" w:hAnsi="Calibri"/>
                <w:b/>
                <w:i w:val="0"/>
                <w:color w:val="FFFFFF"/>
                <w:sz w:val="17"/>
              </w:rPr>
              <w:t>180.0</w:t>
            </w:r>
          </w:p>
        </w:tc>
        <w:tc>
          <w:tcPr>
            <w:shd w:val="clear" w:color="auto" w:fill="1A365D"/>
            <w:tcW w:w="1927" w:type="dxa"/>
          </w:tcPr>
          <w:p>
            <w:pPr>
              <w:jc w:val="right"/>
            </w:pPr>
            <w:r>
              <w:rPr>
                <w:rFonts w:ascii="Calibri" w:hAnsi="Calibri"/>
                <w:b/>
                <w:i w:val="0"/>
                <w:color w:val="FFFFFF"/>
                <w:sz w:val="17"/>
              </w:rPr>
              <w:t>€18,048,873</w:t>
            </w:r>
          </w:p>
        </w:tc>
      </w:tr>
      <w:tr>
        <w:tc>
          <w:tcPr>
            <w:tcW w:w="3402" w:type="dxa"/>
          </w:tcPr>
          <w:p>
            <w:pPr>
              <w:jc w:val="left"/>
            </w:pPr>
            <w:r>
              <w:rPr>
                <w:rFonts w:ascii="Calibri" w:hAnsi="Calibri"/>
                <w:b w:val="0"/>
                <w:i w:val="0"/>
                <w:color w:val="000000"/>
                <w:sz w:val="17"/>
              </w:rPr>
              <w:t>Esperia Green Energy (Famagusta 2)</w:t>
            </w:r>
          </w:p>
        </w:tc>
        <w:tc>
          <w:tcPr>
            <w:tcW w:w="1020" w:type="dxa"/>
          </w:tcPr>
          <w:p>
            <w:pPr>
              <w:jc w:val="center"/>
            </w:pPr>
            <w:r>
              <w:rPr>
                <w:rFonts w:ascii="Calibri" w:hAnsi="Calibri"/>
                <w:b w:val="0"/>
                <w:i w:val="0"/>
                <w:color w:val="000000"/>
                <w:sz w:val="17"/>
              </w:rPr>
              <w:t>Famagusta</w:t>
            </w:r>
          </w:p>
        </w:tc>
        <w:tc>
          <w:tcPr>
            <w:tcW w:w="793" w:type="dxa"/>
          </w:tcPr>
          <w:p>
            <w:pPr>
              <w:jc w:val="right"/>
            </w:pPr>
            <w:r>
              <w:rPr>
                <w:rFonts w:ascii="Calibri" w:hAnsi="Calibri"/>
                <w:b w:val="0"/>
                <w:i w:val="0"/>
                <w:color w:val="000000"/>
                <w:sz w:val="17"/>
              </w:rPr>
              <w:t>5.00</w:t>
            </w:r>
          </w:p>
        </w:tc>
        <w:tc>
          <w:tcPr>
            <w:tcW w:w="793" w:type="dxa"/>
          </w:tcPr>
          <w:p>
            <w:pPr>
              <w:jc w:val="right"/>
            </w:pPr>
            <w:r>
              <w:rPr>
                <w:rFonts w:ascii="Calibri" w:hAnsi="Calibri"/>
                <w:b w:val="0"/>
                <w:i w:val="0"/>
                <w:color w:val="000000"/>
                <w:sz w:val="17"/>
              </w:rPr>
              <w:t>20.0</w:t>
            </w:r>
          </w:p>
        </w:tc>
        <w:tc>
          <w:tcPr>
            <w:tcW w:w="1927" w:type="dxa"/>
          </w:tcPr>
          <w:p>
            <w:pPr>
              <w:jc w:val="right"/>
            </w:pPr>
            <w:r>
              <w:rPr>
                <w:rFonts w:ascii="Calibri" w:hAnsi="Calibri"/>
                <w:b w:val="0"/>
                <w:i w:val="0"/>
                <w:color w:val="000000"/>
                <w:sz w:val="17"/>
              </w:rPr>
              <w:t>€2,189,416</w:t>
            </w:r>
          </w:p>
        </w:tc>
      </w:tr>
      <w:tr>
        <w:tc>
          <w:tcPr>
            <w:tcW w:w="3402" w:type="dxa"/>
          </w:tcPr>
          <w:p>
            <w:pPr>
              <w:jc w:val="left"/>
            </w:pPr>
            <w:r>
              <w:rPr>
                <w:rFonts w:ascii="Calibri" w:hAnsi="Calibri"/>
                <w:b w:val="0"/>
                <w:i w:val="0"/>
                <w:color w:val="000000"/>
                <w:sz w:val="17"/>
              </w:rPr>
              <w:t>Esperia Energy (Tseri)</w:t>
            </w:r>
          </w:p>
        </w:tc>
        <w:tc>
          <w:tcPr>
            <w:tcW w:w="1020" w:type="dxa"/>
          </w:tcPr>
          <w:p>
            <w:pPr>
              <w:jc w:val="center"/>
            </w:pPr>
            <w:r>
              <w:rPr>
                <w:rFonts w:ascii="Calibri" w:hAnsi="Calibri"/>
                <w:b w:val="0"/>
                <w:i w:val="0"/>
                <w:color w:val="000000"/>
                <w:sz w:val="17"/>
              </w:rPr>
              <w:t>Nicosia</w:t>
            </w:r>
          </w:p>
        </w:tc>
        <w:tc>
          <w:tcPr>
            <w:tcW w:w="793" w:type="dxa"/>
          </w:tcPr>
          <w:p>
            <w:pPr>
              <w:jc w:val="right"/>
            </w:pPr>
            <w:r>
              <w:rPr>
                <w:rFonts w:ascii="Calibri" w:hAnsi="Calibri"/>
                <w:b w:val="0"/>
                <w:i w:val="0"/>
                <w:color w:val="000000"/>
                <w:sz w:val="17"/>
              </w:rPr>
              <w:t>7.20</w:t>
            </w:r>
          </w:p>
        </w:tc>
        <w:tc>
          <w:tcPr>
            <w:tcW w:w="793" w:type="dxa"/>
          </w:tcPr>
          <w:p>
            <w:pPr>
              <w:jc w:val="right"/>
            </w:pPr>
            <w:r>
              <w:rPr>
                <w:rFonts w:ascii="Calibri" w:hAnsi="Calibri"/>
                <w:b w:val="0"/>
                <w:i w:val="0"/>
                <w:color w:val="000000"/>
                <w:sz w:val="17"/>
              </w:rPr>
              <w:t>20.0</w:t>
            </w:r>
          </w:p>
        </w:tc>
        <w:tc>
          <w:tcPr>
            <w:tcW w:w="1927" w:type="dxa"/>
          </w:tcPr>
          <w:p>
            <w:pPr>
              <w:jc w:val="right"/>
            </w:pPr>
            <w:r>
              <w:rPr>
                <w:rFonts w:ascii="Calibri" w:hAnsi="Calibri"/>
                <w:b w:val="0"/>
                <w:i w:val="0"/>
                <w:color w:val="000000"/>
                <w:sz w:val="17"/>
              </w:rPr>
              <w:t>€2,382,035</w:t>
            </w:r>
          </w:p>
        </w:tc>
      </w:tr>
      <w:tr>
        <w:tc>
          <w:tcPr>
            <w:tcW w:w="3402" w:type="dxa"/>
          </w:tcPr>
          <w:p>
            <w:pPr>
              <w:jc w:val="left"/>
            </w:pPr>
            <w:r>
              <w:rPr>
                <w:rFonts w:ascii="Calibri" w:hAnsi="Calibri"/>
                <w:b w:val="0"/>
                <w:i w:val="0"/>
                <w:color w:val="000000"/>
                <w:sz w:val="17"/>
              </w:rPr>
              <w:t>Esperia Energy (Tseri 2-A)</w:t>
            </w:r>
          </w:p>
        </w:tc>
        <w:tc>
          <w:tcPr>
            <w:tcW w:w="1020" w:type="dxa"/>
          </w:tcPr>
          <w:p>
            <w:pPr>
              <w:jc w:val="center"/>
            </w:pPr>
            <w:r>
              <w:rPr>
                <w:rFonts w:ascii="Calibri" w:hAnsi="Calibri"/>
                <w:b w:val="0"/>
                <w:i w:val="0"/>
                <w:color w:val="000000"/>
                <w:sz w:val="17"/>
              </w:rPr>
              <w:t>Nicosia</w:t>
            </w:r>
          </w:p>
        </w:tc>
        <w:tc>
          <w:tcPr>
            <w:tcW w:w="793" w:type="dxa"/>
          </w:tcPr>
          <w:p>
            <w:pPr>
              <w:jc w:val="right"/>
            </w:pPr>
            <w:r>
              <w:rPr>
                <w:rFonts w:ascii="Calibri" w:hAnsi="Calibri"/>
                <w:b w:val="0"/>
                <w:i w:val="0"/>
                <w:color w:val="000000"/>
                <w:sz w:val="17"/>
              </w:rPr>
              <w:t>2.75</w:t>
            </w:r>
          </w:p>
        </w:tc>
        <w:tc>
          <w:tcPr>
            <w:tcW w:w="793" w:type="dxa"/>
          </w:tcPr>
          <w:p>
            <w:pPr>
              <w:jc w:val="right"/>
            </w:pPr>
            <w:r>
              <w:rPr>
                <w:rFonts w:ascii="Calibri" w:hAnsi="Calibri"/>
                <w:b w:val="0"/>
                <w:i w:val="0"/>
                <w:color w:val="000000"/>
                <w:sz w:val="17"/>
              </w:rPr>
              <w:t>10.0</w:t>
            </w:r>
          </w:p>
        </w:tc>
        <w:tc>
          <w:tcPr>
            <w:tcW w:w="1927" w:type="dxa"/>
          </w:tcPr>
          <w:p>
            <w:pPr>
              <w:jc w:val="right"/>
            </w:pPr>
            <w:r>
              <w:rPr>
                <w:rFonts w:ascii="Calibri" w:hAnsi="Calibri"/>
                <w:b w:val="0"/>
                <w:i w:val="0"/>
                <w:color w:val="000000"/>
                <w:sz w:val="17"/>
              </w:rPr>
              <w:t>€1,084,620</w:t>
            </w:r>
          </w:p>
        </w:tc>
      </w:tr>
      <w:tr>
        <w:tc>
          <w:tcPr>
            <w:tcW w:w="3402" w:type="dxa"/>
          </w:tcPr>
          <w:p>
            <w:pPr>
              <w:jc w:val="left"/>
            </w:pPr>
            <w:r>
              <w:rPr>
                <w:rFonts w:ascii="Calibri" w:hAnsi="Calibri"/>
                <w:b w:val="0"/>
                <w:i w:val="0"/>
                <w:color w:val="000000"/>
                <w:sz w:val="17"/>
              </w:rPr>
              <w:t>Esperia Energy (Tseri 2-B)</w:t>
            </w:r>
          </w:p>
        </w:tc>
        <w:tc>
          <w:tcPr>
            <w:tcW w:w="1020" w:type="dxa"/>
          </w:tcPr>
          <w:p>
            <w:pPr>
              <w:jc w:val="center"/>
            </w:pPr>
            <w:r>
              <w:rPr>
                <w:rFonts w:ascii="Calibri" w:hAnsi="Calibri"/>
                <w:b w:val="0"/>
                <w:i w:val="0"/>
                <w:color w:val="000000"/>
                <w:sz w:val="17"/>
              </w:rPr>
              <w:t>Nicosia</w:t>
            </w:r>
          </w:p>
        </w:tc>
        <w:tc>
          <w:tcPr>
            <w:tcW w:w="793" w:type="dxa"/>
          </w:tcPr>
          <w:p>
            <w:pPr>
              <w:jc w:val="right"/>
            </w:pPr>
            <w:r>
              <w:rPr>
                <w:rFonts w:ascii="Calibri" w:hAnsi="Calibri"/>
                <w:b w:val="0"/>
                <w:i w:val="0"/>
                <w:color w:val="000000"/>
                <w:sz w:val="17"/>
              </w:rPr>
              <w:t>7.99</w:t>
            </w:r>
          </w:p>
        </w:tc>
        <w:tc>
          <w:tcPr>
            <w:tcW w:w="793" w:type="dxa"/>
          </w:tcPr>
          <w:p>
            <w:pPr>
              <w:jc w:val="right"/>
            </w:pPr>
            <w:r>
              <w:rPr>
                <w:rFonts w:ascii="Calibri" w:hAnsi="Calibri"/>
                <w:b w:val="0"/>
                <w:i w:val="0"/>
                <w:color w:val="000000"/>
                <w:sz w:val="17"/>
              </w:rPr>
              <w:t>30.0</w:t>
            </w:r>
          </w:p>
        </w:tc>
        <w:tc>
          <w:tcPr>
            <w:tcW w:w="1927" w:type="dxa"/>
          </w:tcPr>
          <w:p>
            <w:pPr>
              <w:jc w:val="right"/>
            </w:pPr>
            <w:r>
              <w:rPr>
                <w:rFonts w:ascii="Calibri" w:hAnsi="Calibri"/>
                <w:b w:val="0"/>
                <w:i w:val="0"/>
                <w:color w:val="000000"/>
                <w:sz w:val="17"/>
              </w:rPr>
              <w:t>€2,912,993</w:t>
            </w:r>
          </w:p>
        </w:tc>
      </w:tr>
      <w:tr>
        <w:tc>
          <w:tcPr>
            <w:tcW w:w="3402" w:type="dxa"/>
          </w:tcPr>
          <w:p>
            <w:pPr>
              <w:jc w:val="left"/>
            </w:pPr>
            <w:r>
              <w:rPr>
                <w:rFonts w:ascii="Calibri" w:hAnsi="Calibri"/>
                <w:b w:val="0"/>
                <w:i w:val="0"/>
                <w:color w:val="000000"/>
                <w:sz w:val="17"/>
              </w:rPr>
              <w:t>Esperia Energy (Tseri 2-C)</w:t>
            </w:r>
          </w:p>
        </w:tc>
        <w:tc>
          <w:tcPr>
            <w:tcW w:w="1020" w:type="dxa"/>
          </w:tcPr>
          <w:p>
            <w:pPr>
              <w:jc w:val="center"/>
            </w:pPr>
            <w:r>
              <w:rPr>
                <w:rFonts w:ascii="Calibri" w:hAnsi="Calibri"/>
                <w:b w:val="0"/>
                <w:i w:val="0"/>
                <w:color w:val="000000"/>
                <w:sz w:val="17"/>
              </w:rPr>
              <w:t>Nicosia</w:t>
            </w:r>
          </w:p>
        </w:tc>
        <w:tc>
          <w:tcPr>
            <w:tcW w:w="793" w:type="dxa"/>
          </w:tcPr>
          <w:p>
            <w:pPr>
              <w:jc w:val="right"/>
            </w:pPr>
            <w:r>
              <w:rPr>
                <w:rFonts w:ascii="Calibri" w:hAnsi="Calibri"/>
                <w:b w:val="0"/>
                <w:i w:val="0"/>
                <w:color w:val="000000"/>
                <w:sz w:val="17"/>
              </w:rPr>
              <w:t>6.30</w:t>
            </w:r>
          </w:p>
        </w:tc>
        <w:tc>
          <w:tcPr>
            <w:tcW w:w="793" w:type="dxa"/>
          </w:tcPr>
          <w:p>
            <w:pPr>
              <w:jc w:val="right"/>
            </w:pPr>
            <w:r>
              <w:rPr>
                <w:rFonts w:ascii="Calibri" w:hAnsi="Calibri"/>
                <w:b w:val="0"/>
                <w:i w:val="0"/>
                <w:color w:val="000000"/>
                <w:sz w:val="17"/>
              </w:rPr>
              <w:t>25.0</w:t>
            </w:r>
          </w:p>
        </w:tc>
        <w:tc>
          <w:tcPr>
            <w:tcW w:w="1927" w:type="dxa"/>
          </w:tcPr>
          <w:p>
            <w:pPr>
              <w:jc w:val="right"/>
            </w:pPr>
            <w:r>
              <w:rPr>
                <w:rFonts w:ascii="Calibri" w:hAnsi="Calibri"/>
                <w:b w:val="0"/>
                <w:i w:val="0"/>
                <w:color w:val="000000"/>
                <w:sz w:val="17"/>
              </w:rPr>
              <w:t>€1,551,848</w:t>
            </w:r>
          </w:p>
        </w:tc>
      </w:tr>
      <w:tr>
        <w:tc>
          <w:tcPr>
            <w:tcW w:w="3402" w:type="dxa"/>
          </w:tcPr>
          <w:p>
            <w:pPr>
              <w:jc w:val="left"/>
            </w:pPr>
            <w:r>
              <w:rPr>
                <w:rFonts w:ascii="Calibri" w:hAnsi="Calibri"/>
                <w:b w:val="0"/>
                <w:i w:val="0"/>
                <w:color w:val="000000"/>
                <w:sz w:val="17"/>
              </w:rPr>
              <w:t>Esperia Energy (Tseri 3)</w:t>
            </w:r>
          </w:p>
        </w:tc>
        <w:tc>
          <w:tcPr>
            <w:tcW w:w="1020" w:type="dxa"/>
          </w:tcPr>
          <w:p>
            <w:pPr>
              <w:jc w:val="center"/>
            </w:pPr>
            <w:r>
              <w:rPr>
                <w:rFonts w:ascii="Calibri" w:hAnsi="Calibri"/>
                <w:b w:val="0"/>
                <w:i w:val="0"/>
                <w:color w:val="000000"/>
                <w:sz w:val="17"/>
              </w:rPr>
              <w:t>Nicosia</w:t>
            </w:r>
          </w:p>
        </w:tc>
        <w:tc>
          <w:tcPr>
            <w:tcW w:w="793" w:type="dxa"/>
          </w:tcPr>
          <w:p>
            <w:pPr>
              <w:jc w:val="right"/>
            </w:pPr>
            <w:r>
              <w:rPr>
                <w:rFonts w:ascii="Calibri" w:hAnsi="Calibri"/>
                <w:b w:val="0"/>
                <w:i w:val="0"/>
                <w:color w:val="000000"/>
                <w:sz w:val="17"/>
              </w:rPr>
              <w:t>4.75</w:t>
            </w:r>
          </w:p>
        </w:tc>
        <w:tc>
          <w:tcPr>
            <w:tcW w:w="793" w:type="dxa"/>
          </w:tcPr>
          <w:p>
            <w:pPr>
              <w:jc w:val="right"/>
            </w:pPr>
            <w:r>
              <w:rPr>
                <w:rFonts w:ascii="Calibri" w:hAnsi="Calibri"/>
                <w:b w:val="0"/>
                <w:i w:val="0"/>
                <w:color w:val="000000"/>
                <w:sz w:val="17"/>
              </w:rPr>
              <w:t>20.0</w:t>
            </w:r>
          </w:p>
        </w:tc>
        <w:tc>
          <w:tcPr>
            <w:tcW w:w="1927" w:type="dxa"/>
          </w:tcPr>
          <w:p>
            <w:pPr>
              <w:jc w:val="right"/>
            </w:pPr>
            <w:r>
              <w:rPr>
                <w:rFonts w:ascii="Calibri" w:hAnsi="Calibri"/>
                <w:b w:val="0"/>
                <w:i w:val="0"/>
                <w:color w:val="000000"/>
                <w:sz w:val="17"/>
              </w:rPr>
              <w:t>€1,874,143</w:t>
            </w:r>
          </w:p>
        </w:tc>
      </w:tr>
      <w:tr>
        <w:tc>
          <w:tcPr>
            <w:shd w:val="clear" w:color="auto" w:fill="1A365D"/>
            <w:tcW w:w="3402" w:type="dxa"/>
          </w:tcPr>
          <w:p>
            <w:pPr>
              <w:jc w:val="left"/>
            </w:pPr>
            <w:r>
              <w:rPr>
                <w:rFonts w:ascii="Calibri" w:hAnsi="Calibri"/>
                <w:b/>
                <w:i w:val="0"/>
                <w:color w:val="FFFFFF"/>
                <w:sz w:val="17"/>
              </w:rPr>
              <w:t>Phase 3 — 2028 Delivery (Famagusta 2 + Tseri Portfolio) — Subtotal</w:t>
            </w:r>
          </w:p>
        </w:tc>
        <w:tc>
          <w:tcPr>
            <w:shd w:val="clear" w:color="auto" w:fill="1A365D"/>
            <w:tcW w:w="1020" w:type="dxa"/>
          </w:tcPr>
          <w:p>
            <w:pPr>
              <w:jc w:val="center"/>
            </w:pPr>
            <w:r>
              <w:rPr>
                <w:rFonts w:ascii="Calibri" w:hAnsi="Calibri"/>
                <w:b/>
                <w:i w:val="0"/>
                <w:color w:val="FFFFFF"/>
                <w:sz w:val="17"/>
              </w:rPr>
            </w:r>
          </w:p>
        </w:tc>
        <w:tc>
          <w:tcPr>
            <w:shd w:val="clear" w:color="auto" w:fill="1A365D"/>
            <w:tcW w:w="793" w:type="dxa"/>
          </w:tcPr>
          <w:p>
            <w:pPr>
              <w:jc w:val="right"/>
            </w:pPr>
            <w:r>
              <w:rPr>
                <w:rFonts w:ascii="Calibri" w:hAnsi="Calibri"/>
                <w:b/>
                <w:i w:val="0"/>
                <w:color w:val="FFFFFF"/>
                <w:sz w:val="17"/>
              </w:rPr>
              <w:t>33.99</w:t>
            </w:r>
          </w:p>
        </w:tc>
        <w:tc>
          <w:tcPr>
            <w:shd w:val="clear" w:color="auto" w:fill="1A365D"/>
            <w:tcW w:w="793" w:type="dxa"/>
          </w:tcPr>
          <w:p>
            <w:pPr>
              <w:jc w:val="right"/>
            </w:pPr>
            <w:r>
              <w:rPr>
                <w:rFonts w:ascii="Calibri" w:hAnsi="Calibri"/>
                <w:b/>
                <w:i w:val="0"/>
                <w:color w:val="FFFFFF"/>
                <w:sz w:val="17"/>
              </w:rPr>
              <w:t>125.0</w:t>
            </w:r>
          </w:p>
        </w:tc>
        <w:tc>
          <w:tcPr>
            <w:shd w:val="clear" w:color="auto" w:fill="1A365D"/>
            <w:tcW w:w="1927" w:type="dxa"/>
          </w:tcPr>
          <w:p>
            <w:pPr>
              <w:jc w:val="right"/>
            </w:pPr>
            <w:r>
              <w:rPr>
                <w:rFonts w:ascii="Calibri" w:hAnsi="Calibri"/>
                <w:b/>
                <w:i w:val="0"/>
                <w:color w:val="FFFFFF"/>
                <w:sz w:val="17"/>
              </w:rPr>
              <w:t>€11,995,055</w:t>
            </w:r>
          </w:p>
        </w:tc>
      </w:tr>
      <w:tr>
        <w:tc>
          <w:tcPr>
            <w:shd w:val="clear" w:color="auto" w:fill="1A365D"/>
            <w:tcW w:w="3402" w:type="dxa"/>
          </w:tcPr>
          <w:p>
            <w:pPr>
              <w:jc w:val="left"/>
            </w:pPr>
            <w:r>
              <w:rPr>
                <w:rFonts w:ascii="Calibri" w:hAnsi="Calibri"/>
                <w:b/>
                <w:i w:val="0"/>
                <w:color w:val="FFFFFF"/>
                <w:sz w:val="17"/>
              </w:rPr>
              <w:t>TOTAL SCHEDULE 1  (9 pipeline parks)</w:t>
            </w:r>
          </w:p>
        </w:tc>
        <w:tc>
          <w:tcPr>
            <w:shd w:val="clear" w:color="auto" w:fill="1A365D"/>
            <w:tcW w:w="1020" w:type="dxa"/>
          </w:tcPr>
          <w:p>
            <w:pPr>
              <w:jc w:val="center"/>
            </w:pPr>
            <w:r>
              <w:rPr>
                <w:rFonts w:ascii="Calibri" w:hAnsi="Calibri"/>
                <w:b/>
                <w:i w:val="0"/>
                <w:color w:val="FFFFFF"/>
                <w:sz w:val="17"/>
              </w:rPr>
            </w:r>
          </w:p>
        </w:tc>
        <w:tc>
          <w:tcPr>
            <w:shd w:val="clear" w:color="auto" w:fill="1A365D"/>
            <w:tcW w:w="793" w:type="dxa"/>
          </w:tcPr>
          <w:p>
            <w:pPr>
              <w:jc w:val="right"/>
            </w:pPr>
            <w:r>
              <w:rPr>
                <w:rFonts w:ascii="Calibri" w:hAnsi="Calibri"/>
                <w:b/>
                <w:i w:val="0"/>
                <w:color w:val="FFFFFF"/>
                <w:sz w:val="17"/>
              </w:rPr>
              <w:t>73.49</w:t>
            </w:r>
          </w:p>
        </w:tc>
        <w:tc>
          <w:tcPr>
            <w:shd w:val="clear" w:color="auto" w:fill="1A365D"/>
            <w:tcW w:w="793" w:type="dxa"/>
          </w:tcPr>
          <w:p>
            <w:pPr>
              <w:jc w:val="right"/>
            </w:pPr>
            <w:r>
              <w:rPr>
                <w:rFonts w:ascii="Calibri" w:hAnsi="Calibri"/>
                <w:b/>
                <w:i w:val="0"/>
                <w:color w:val="FFFFFF"/>
                <w:sz w:val="17"/>
              </w:rPr>
              <w:t>305.0</w:t>
            </w:r>
          </w:p>
        </w:tc>
        <w:tc>
          <w:tcPr>
            <w:shd w:val="clear" w:color="auto" w:fill="1A365D"/>
            <w:tcW w:w="1927" w:type="dxa"/>
          </w:tcPr>
          <w:p>
            <w:pPr>
              <w:jc w:val="right"/>
            </w:pPr>
            <w:r>
              <w:rPr>
                <w:rFonts w:ascii="Calibri" w:hAnsi="Calibri"/>
                <w:b/>
                <w:i w:val="0"/>
                <w:color w:val="FFFFFF"/>
                <w:sz w:val="17"/>
              </w:rPr>
              <w:t>€30,043,928</w:t>
            </w:r>
          </w:p>
        </w:tc>
      </w:tr>
    </w:tbl>
    <w:p>
      <w:pPr>
        <w:spacing w:before="320" w:after="80"/>
      </w:pPr>
      <w:r>
        <w:rPr>
          <w:rFonts w:ascii="Calibri" w:hAnsi="Calibri"/>
          <w:b/>
          <w:i w:val="0"/>
          <w:color w:val="C9A432"/>
          <w:sz w:val="24"/>
        </w:rPr>
        <w:t>3.   INDICATIVE PROGRAMME</w:t>
      </w:r>
    </w:p>
    <w:p>
      <w:pPr>
        <w:spacing w:after="100"/>
        <w:jc w:val="both"/>
      </w:pPr>
      <w:r>
        <w:rPr>
          <w:rFonts w:ascii="Calibri" w:hAnsi="Calibri"/>
          <w:b w:val="0"/>
          <w:i w:val="0"/>
          <w:color w:val="000000"/>
          <w:sz w:val="20"/>
        </w:rPr>
        <w:t>Target dates are indicative; each EPC sets binding milestones.</w:t>
      </w:r>
    </w:p>
    <w:tbl>
      <w:tblPr>
        <w:tblLook w:firstColumn="1" w:firstRow="1" w:lastColumn="0" w:lastRow="0" w:noHBand="0" w:noVBand="1" w:val="04A0"/>
        <w:tblW w:w="7370" w:type="dxa"/>
        <w:tblLayout w:type="fixed"/>
      </w:tblPr>
      <w:tblGrid>
        <w:gridCol w:w="3118"/>
        <w:gridCol w:w="567"/>
        <w:gridCol w:w="680"/>
        <w:gridCol w:w="1134"/>
        <w:gridCol w:w="1871"/>
      </w:tblGrid>
      <w:tr>
        <w:tc>
          <w:tcPr>
            <w:shd w:val="clear" w:color="auto" w:fill="1A365D"/>
            <w:vAlign w:val="center"/>
            <w:tcW w:w="3118" w:type="dxa"/>
          </w:tcPr>
          <w:p>
            <w:pPr>
              <w:jc w:val="center"/>
            </w:pPr>
            <w:r>
              <w:rPr>
                <w:rFonts w:ascii="Calibri" w:hAnsi="Calibri"/>
                <w:b/>
                <w:i w:val="0"/>
                <w:color w:val="FFFFFF"/>
                <w:sz w:val="16"/>
              </w:rPr>
              <w:t>Batch / Phase</w:t>
            </w:r>
          </w:p>
        </w:tc>
        <w:tc>
          <w:tcPr>
            <w:shd w:val="clear" w:color="auto" w:fill="1A365D"/>
            <w:vAlign w:val="center"/>
            <w:tcW w:w="567" w:type="dxa"/>
          </w:tcPr>
          <w:p>
            <w:pPr>
              <w:jc w:val="center"/>
            </w:pPr>
            <w:r>
              <w:rPr>
                <w:rFonts w:ascii="Calibri" w:hAnsi="Calibri"/>
                <w:b/>
                <w:i w:val="0"/>
                <w:color w:val="FFFFFF"/>
                <w:sz w:val="16"/>
              </w:rPr>
              <w:t>Parks</w:t>
            </w:r>
          </w:p>
        </w:tc>
        <w:tc>
          <w:tcPr>
            <w:shd w:val="clear" w:color="auto" w:fill="1A365D"/>
            <w:vAlign w:val="center"/>
            <w:tcW w:w="680" w:type="dxa"/>
          </w:tcPr>
          <w:p>
            <w:pPr>
              <w:jc w:val="center"/>
            </w:pPr>
            <w:r>
              <w:rPr>
                <w:rFonts w:ascii="Calibri" w:hAnsi="Calibri"/>
                <w:b/>
                <w:i w:val="0"/>
                <w:color w:val="FFFFFF"/>
                <w:sz w:val="16"/>
              </w:rPr>
              <w:t>MWh</w:t>
            </w:r>
          </w:p>
        </w:tc>
        <w:tc>
          <w:tcPr>
            <w:shd w:val="clear" w:color="auto" w:fill="1A365D"/>
            <w:vAlign w:val="center"/>
            <w:tcW w:w="1134" w:type="dxa"/>
          </w:tcPr>
          <w:p>
            <w:pPr>
              <w:jc w:val="center"/>
            </w:pPr>
            <w:r>
              <w:rPr>
                <w:rFonts w:ascii="Calibri" w:hAnsi="Calibri"/>
                <w:b/>
                <w:i w:val="0"/>
                <w:color w:val="FFFFFF"/>
                <w:sz w:val="16"/>
              </w:rPr>
              <w:t>EPC target</w:t>
            </w:r>
          </w:p>
        </w:tc>
        <w:tc>
          <w:tcPr>
            <w:shd w:val="clear" w:color="auto" w:fill="1A365D"/>
            <w:vAlign w:val="center"/>
            <w:tcW w:w="1871" w:type="dxa"/>
          </w:tcPr>
          <w:p>
            <w:pPr>
              <w:jc w:val="center"/>
            </w:pPr>
            <w:r>
              <w:rPr>
                <w:rFonts w:ascii="Calibri" w:hAnsi="Calibri"/>
                <w:b/>
                <w:i w:val="0"/>
                <w:color w:val="FFFFFF"/>
                <w:sz w:val="16"/>
              </w:rPr>
              <w:t>Indicative value (ex VAT)</w:t>
            </w:r>
          </w:p>
        </w:tc>
      </w:tr>
      <w:tr>
        <w:tc>
          <w:tcPr>
            <w:tcW w:w="3118" w:type="dxa"/>
          </w:tcPr>
          <w:p>
            <w:pPr>
              <w:jc w:val="left"/>
            </w:pPr>
            <w:r>
              <w:rPr>
                <w:rFonts w:ascii="Calibri" w:hAnsi="Calibri"/>
                <w:b w:val="0"/>
                <w:i w:val="0"/>
                <w:color w:val="000000"/>
                <w:sz w:val="17"/>
              </w:rPr>
              <w:t>Phase 1 — 2026</w:t>
            </w:r>
          </w:p>
        </w:tc>
        <w:tc>
          <w:tcPr>
            <w:tcW w:w="567" w:type="dxa"/>
          </w:tcPr>
          <w:p>
            <w:pPr>
              <w:jc w:val="center"/>
            </w:pPr>
            <w:r>
              <w:rPr>
                <w:rFonts w:ascii="Calibri" w:hAnsi="Calibri"/>
                <w:b w:val="0"/>
                <w:i w:val="0"/>
                <w:color w:val="000000"/>
                <w:sz w:val="17"/>
              </w:rPr>
              <w:t>3</w:t>
            </w:r>
          </w:p>
        </w:tc>
        <w:tc>
          <w:tcPr>
            <w:tcW w:w="680" w:type="dxa"/>
          </w:tcPr>
          <w:p>
            <w:pPr>
              <w:jc w:val="right"/>
            </w:pPr>
            <w:r>
              <w:rPr>
                <w:rFonts w:ascii="Calibri" w:hAnsi="Calibri"/>
                <w:b w:val="0"/>
                <w:i w:val="0"/>
                <w:color w:val="000000"/>
                <w:sz w:val="17"/>
              </w:rPr>
              <w:t>180.0</w:t>
            </w:r>
          </w:p>
        </w:tc>
        <w:tc>
          <w:tcPr>
            <w:tcW w:w="1134" w:type="dxa"/>
          </w:tcPr>
          <w:p>
            <w:pPr>
              <w:jc w:val="right"/>
            </w:pPr>
            <w:r>
              <w:rPr>
                <w:rFonts w:ascii="Calibri" w:hAnsi="Calibri"/>
                <w:b w:val="0"/>
                <w:i w:val="0"/>
                <w:color w:val="000000"/>
                <w:sz w:val="17"/>
              </w:rPr>
              <w:t>Q2 2026</w:t>
            </w:r>
          </w:p>
        </w:tc>
        <w:tc>
          <w:tcPr>
            <w:tcW w:w="1871" w:type="dxa"/>
          </w:tcPr>
          <w:p>
            <w:pPr>
              <w:jc w:val="right"/>
            </w:pPr>
            <w:r>
              <w:rPr>
                <w:rFonts w:ascii="Calibri" w:hAnsi="Calibri"/>
                <w:b w:val="0"/>
                <w:i w:val="0"/>
                <w:color w:val="000000"/>
                <w:sz w:val="17"/>
              </w:rPr>
              <w:t>€18,048,873</w:t>
            </w:r>
          </w:p>
        </w:tc>
      </w:tr>
      <w:tr>
        <w:tc>
          <w:tcPr>
            <w:tcW w:w="3118" w:type="dxa"/>
          </w:tcPr>
          <w:p>
            <w:pPr>
              <w:jc w:val="left"/>
            </w:pPr>
            <w:r>
              <w:rPr>
                <w:rFonts w:ascii="Calibri" w:hAnsi="Calibri"/>
                <w:b w:val="0"/>
                <w:i w:val="0"/>
                <w:color w:val="000000"/>
                <w:sz w:val="17"/>
              </w:rPr>
              <w:t>Phase 3 — 2028 (Famagusta 2 + Tseri)</w:t>
            </w:r>
          </w:p>
        </w:tc>
        <w:tc>
          <w:tcPr>
            <w:tcW w:w="567" w:type="dxa"/>
          </w:tcPr>
          <w:p>
            <w:pPr>
              <w:jc w:val="center"/>
            </w:pPr>
            <w:r>
              <w:rPr>
                <w:rFonts w:ascii="Calibri" w:hAnsi="Calibri"/>
                <w:b w:val="0"/>
                <w:i w:val="0"/>
                <w:color w:val="000000"/>
                <w:sz w:val="17"/>
              </w:rPr>
              <w:t>6</w:t>
            </w:r>
          </w:p>
        </w:tc>
        <w:tc>
          <w:tcPr>
            <w:tcW w:w="680" w:type="dxa"/>
          </w:tcPr>
          <w:p>
            <w:pPr>
              <w:jc w:val="right"/>
            </w:pPr>
            <w:r>
              <w:rPr>
                <w:rFonts w:ascii="Calibri" w:hAnsi="Calibri"/>
                <w:b w:val="0"/>
                <w:i w:val="0"/>
                <w:color w:val="000000"/>
                <w:sz w:val="17"/>
              </w:rPr>
              <w:t>125.0</w:t>
            </w:r>
          </w:p>
        </w:tc>
        <w:tc>
          <w:tcPr>
            <w:tcW w:w="1134" w:type="dxa"/>
          </w:tcPr>
          <w:p>
            <w:pPr>
              <w:jc w:val="right"/>
            </w:pPr>
            <w:r>
              <w:rPr>
                <w:rFonts w:ascii="Calibri" w:hAnsi="Calibri"/>
                <w:b w:val="0"/>
                <w:i w:val="0"/>
                <w:color w:val="000000"/>
                <w:sz w:val="17"/>
              </w:rPr>
              <w:t>2028</w:t>
            </w:r>
          </w:p>
        </w:tc>
        <w:tc>
          <w:tcPr>
            <w:tcW w:w="1871" w:type="dxa"/>
          </w:tcPr>
          <w:p>
            <w:pPr>
              <w:jc w:val="right"/>
            </w:pPr>
            <w:r>
              <w:rPr>
                <w:rFonts w:ascii="Calibri" w:hAnsi="Calibri"/>
                <w:b w:val="0"/>
                <w:i w:val="0"/>
                <w:color w:val="000000"/>
                <w:sz w:val="17"/>
              </w:rPr>
              <w:t>€11,995,055</w:t>
            </w:r>
          </w:p>
        </w:tc>
      </w:tr>
    </w:tbl>
    <w:p>
      <w:pPr>
        <w:spacing w:before="320" w:after="80"/>
      </w:pPr>
      <w:r>
        <w:rPr>
          <w:rFonts w:ascii="Calibri" w:hAnsi="Calibri"/>
          <w:b/>
          <w:i w:val="0"/>
          <w:color w:val="C9A432"/>
          <w:sz w:val="24"/>
        </w:rPr>
        <w:t>4.   COMMERCIAL SUMMARY</w:t>
      </w:r>
    </w:p>
    <w:p>
      <w:pPr>
        <w:spacing w:after="100"/>
        <w:jc w:val="both"/>
      </w:pPr>
      <w:r>
        <w:rPr>
          <w:rFonts w:ascii="Calibri" w:hAnsi="Calibri"/>
          <w:b w:val="0"/>
          <w:i w:val="0"/>
          <w:color w:val="000000"/>
          <w:sz w:val="20"/>
        </w:rPr>
        <w:t>4.1  Indicative payment structure for each EPC (detail in the EPC): 30% advance; 55% pre-shipment; 10% on PAC; 5% retention released after a three (3) month defects liability period following PAC.</w:t>
      </w:r>
    </w:p>
    <w:p>
      <w:pPr>
        <w:spacing w:after="100"/>
        <w:jc w:val="both"/>
      </w:pPr>
      <w:r>
        <w:rPr>
          <w:rFonts w:ascii="Calibri" w:hAnsi="Calibri"/>
          <w:b w:val="0"/>
          <w:i w:val="0"/>
          <w:color w:val="000000"/>
          <w:sz w:val="20"/>
        </w:rPr>
        <w:t>4.2  Prices exclude VAT. Client scope includes civil works, planning, permits, and grid connection fees unless agreed otherwise in the EPC.</w:t>
      </w:r>
    </w:p>
    <w:p>
      <w:pPr>
        <w:spacing w:after="100"/>
        <w:jc w:val="both"/>
      </w:pPr>
      <w:r>
        <w:rPr>
          <w:rFonts w:ascii="Calibri" w:hAnsi="Calibri"/>
          <w:b w:val="0"/>
          <w:i w:val="0"/>
          <w:color w:val="000000"/>
          <w:sz w:val="20"/>
        </w:rPr>
        <w:t>4.3  (Pricing basis — two-way, single source) Contract Price for each park is expressed per effective MWh (nameplate energy capacity) in that park's EPC Schedule A. Effective MWh for each pipeline park will be stated in that park's phase EPC Schedule A. Schedule 1 Indicative Prices and executed EPC Confirmed Prices use the same pricing source: Linyang Quotation LY202601271 (January 2026). Prices may adjust up or down only via the Confirmed Price mechanism in Section 4.5 (Mysteel lithium and EUR/CNY — no other indices).</w:t>
      </w:r>
    </w:p>
    <w:p>
      <w:pPr>
        <w:spacing w:after="100"/>
        <w:jc w:val="both"/>
      </w:pPr>
      <w:r>
        <w:rPr>
          <w:rFonts w:ascii="Calibri" w:hAnsi="Calibri"/>
          <w:b w:val="0"/>
          <w:i w:val="0"/>
          <w:color w:val="000000"/>
          <w:sz w:val="20"/>
        </w:rPr>
        <w:t>4.4  (Indicative Price) Schedule 1 and each EPC Component A and Component B at signing are Indicative Prices from LY202601271, exclusive of VAT. The Indicative Price is binding on Lighthief from the EPC Effective Date until the Confirmed Price Certificate Date (as defined in the EPC).</w:t>
      </w:r>
    </w:p>
    <w:p>
      <w:pPr>
        <w:spacing w:after="100"/>
        <w:jc w:val="both"/>
      </w:pPr>
      <w:r>
        <w:rPr>
          <w:rFonts w:ascii="Calibri" w:hAnsi="Calibri"/>
          <w:b w:val="0"/>
          <w:i w:val="0"/>
          <w:color w:val="000000"/>
          <w:sz w:val="20"/>
        </w:rPr>
        <w:t>4.5  (Confirmed Price mechanism — EPC v5.1 §6.1) Each executed EPC shall apply the following (same rules for Indicative and Confirmed Price):</w:t>
      </w:r>
    </w:p>
    <w:p>
      <w:pPr>
        <w:pStyle w:val="ListBullet"/>
        <w:spacing w:after="40"/>
        <w:ind w:left="283"/>
      </w:pPr>
      <w:r>
        <w:rPr>
          <w:rFonts w:ascii="Calibri" w:hAnsi="Calibri"/>
          <w:b w:val="0"/>
          <w:i w:val="0"/>
          <w:color w:val="000000"/>
          <w:sz w:val="20"/>
        </w:rPr>
        <w:t>Within fourteen (14) days after the Client receives grid Connection Terms for that park or phase, Lighthief issues a Confirmed Price Certificate fixing the Contract Price for all subsequent payment milestones.</w:t>
      </w:r>
    </w:p>
    <w:p>
      <w:pPr>
        <w:pStyle w:val="ListBullet"/>
        <w:spacing w:after="40"/>
        <w:ind w:left="283"/>
      </w:pPr>
      <w:r>
        <w:rPr>
          <w:rFonts w:ascii="Calibri" w:hAnsi="Calibri"/>
          <w:b w:val="0"/>
          <w:i w:val="0"/>
          <w:color w:val="000000"/>
          <w:sz w:val="20"/>
        </w:rPr>
        <w:t>The Confirmed Price equals the Indicative Price adjusted two-way where: (i) the Mysteel lithium carbonate reference (155,000 CNY/tonne (Mysteel China battery-grade spot, January 2026 monthly average)) moves by more than ten percent (10%); and/or (ii) EUR/CNY (8.18 CNY per EUR (January 2026 average)) moves by more than eight percent (8%); and/or (iii) the Client requests a material configuration change in Schedule A. A favourable index movement reduces the Confirmed Price accordingly.</w:t>
      </w:r>
    </w:p>
    <w:p>
      <w:pPr>
        <w:pStyle w:val="ListBullet"/>
        <w:spacing w:after="40"/>
        <w:ind w:left="283"/>
      </w:pPr>
      <w:r>
        <w:rPr>
          <w:rFonts w:ascii="Calibri" w:hAnsi="Calibri"/>
          <w:b w:val="0"/>
          <w:i w:val="0"/>
          <w:color w:val="000000"/>
          <w:sz w:val="20"/>
        </w:rPr>
        <w:t>Any net upward adjustment is capped at five percent (5%) of the Indicative Contract Price. If the calculated upward adjustment exceeds 5%, either Party may terminate that EPC without penalty within fourteen (14) days of the Confirmed Price Certificate; advance payments are refunded within thirty (30) days, less reasonable documented costs under Clause 1.3.</w:t>
      </w:r>
    </w:p>
    <w:p>
      <w:pPr>
        <w:pStyle w:val="ListBullet"/>
        <w:spacing w:after="40"/>
        <w:ind w:left="283"/>
      </w:pPr>
      <w:r>
        <w:rPr>
          <w:rFonts w:ascii="Calibri" w:hAnsi="Calibri"/>
          <w:b w:val="0"/>
          <w:i w:val="0"/>
          <w:color w:val="000000"/>
          <w:sz w:val="20"/>
        </w:rPr>
        <w:t>Lighthief shall not pass through cost increases caused by Lighthief's own delay or fault.</w:t>
      </w:r>
    </w:p>
    <w:p>
      <w:pPr>
        <w:pStyle w:val="ListBullet"/>
        <w:spacing w:after="40"/>
        <w:ind w:left="283"/>
      </w:pPr>
      <w:r>
        <w:rPr>
          <w:rFonts w:ascii="Calibri" w:hAnsi="Calibri"/>
          <w:b w:val="0"/>
          <w:i w:val="0"/>
          <w:color w:val="000000"/>
          <w:sz w:val="20"/>
        </w:rPr>
        <w:t>Advance payment (30%): due within thirty (30) days of the later of EPC Effective Date and Connection Terms (not on signing alone). Connection Terms must be obtained within twelve (12) months of Effective Date (EPC §1A.1 longstop).</w:t>
      </w:r>
    </w:p>
    <w:p>
      <w:pPr>
        <w:pStyle w:val="ListBullet"/>
        <w:spacing w:after="40"/>
        <w:ind w:left="283"/>
      </w:pPr>
      <w:r>
        <w:rPr>
          <w:rFonts w:ascii="Calibri" w:hAnsi="Calibri"/>
          <w:b w:val="0"/>
          <w:i w:val="0"/>
          <w:color w:val="000000"/>
          <w:sz w:val="20"/>
        </w:rPr>
        <w:t>Price Basis Certificates: at EPC signing, an Indicative Price Basis Certificate (indices, methodology, effective MWh, Indicative Price); at equipment delivery to Site, a Delivery Price Basis Certificate (Confirmed Price or adjustment shown). Client may dispute within fourteen (14) days of each Certificate.</w:t>
      </w:r>
    </w:p>
    <w:p>
      <w:pPr>
        <w:spacing w:after="100"/>
        <w:jc w:val="both"/>
      </w:pPr>
      <w:r>
        <w:rPr>
          <w:rFonts w:ascii="Calibri" w:hAnsi="Calibri"/>
          <w:b w:val="0"/>
          <w:i w:val="0"/>
          <w:color w:val="000000"/>
          <w:sz w:val="20"/>
        </w:rPr>
        <w:t>4.6  Schedule 1 Indicative totals remain valid for ninety (90) days from this LOI. Material changes will be notified at least thirty (30) days before the relevant EPC is signed. Final commercial terms are only those in the executed EPC and Confirmed Price Certificate.</w:t>
      </w:r>
    </w:p>
    <w:p>
      <w:pPr>
        <w:spacing w:before="320" w:after="80"/>
      </w:pPr>
      <w:r>
        <w:rPr>
          <w:rFonts w:ascii="Calibri" w:hAnsi="Calibri"/>
          <w:b/>
          <w:i w:val="0"/>
          <w:color w:val="C9A432"/>
          <w:sz w:val="24"/>
        </w:rPr>
        <w:t>5.   COMPANION AGREEMENTS (INTENT)</w:t>
      </w:r>
    </w:p>
    <w:p>
      <w:pPr>
        <w:spacing w:after="100"/>
        <w:jc w:val="both"/>
      </w:pPr>
      <w:r>
        <w:rPr>
          <w:rFonts w:ascii="Calibri" w:hAnsi="Calibri"/>
          <w:b w:val="0"/>
          <w:i w:val="0"/>
          <w:color w:val="000000"/>
          <w:sz w:val="20"/>
        </w:rPr>
        <w:t>5.1  LTSA and EMS: The Client intends to enter LTSA(s) and, where applicable, DISPERON EMS subscription with each commissioned park. Indicative EMS rate EUR 400/MWh/year from PAC (separate addendum).</w:t>
      </w:r>
    </w:p>
    <w:p>
      <w:pPr>
        <w:spacing w:before="320" w:after="80"/>
      </w:pPr>
      <w:r>
        <w:rPr>
          <w:rFonts w:ascii="Calibri" w:hAnsi="Calibri"/>
          <w:b/>
          <w:i w:val="0"/>
          <w:color w:val="C9A432"/>
          <w:sz w:val="24"/>
        </w:rPr>
        <w:t>6.   GOOD FAITH AND PHASE EXIT</w:t>
      </w:r>
    </w:p>
    <w:p>
      <w:pPr>
        <w:spacing w:after="100"/>
        <w:jc w:val="both"/>
      </w:pPr>
      <w:r>
        <w:rPr>
          <w:rFonts w:ascii="Calibri" w:hAnsi="Calibri"/>
          <w:b w:val="0"/>
          <w:i w:val="0"/>
          <w:color w:val="000000"/>
          <w:sz w:val="20"/>
        </w:rPr>
        <w:t>6.1  The Parties will negotiate each phase EPC in good faith. If terms are not agreed within sixty (60) days after the relevant EPC target date in Section 3, either Party may end this LOI for that phase only, without liability except Clause 1.3.</w:t>
      </w:r>
    </w:p>
    <w:p>
      <w:pPr>
        <w:spacing w:before="320" w:after="80"/>
      </w:pPr>
      <w:r>
        <w:rPr>
          <w:rFonts w:ascii="Calibri" w:hAnsi="Calibri"/>
          <w:b/>
          <w:i w:val="0"/>
          <w:color w:val="C9A432"/>
          <w:sz w:val="24"/>
        </w:rPr>
        <w:t>7.   EXCLUSIVITY</w:t>
      </w:r>
    </w:p>
    <w:p>
      <w:pPr>
        <w:spacing w:after="100"/>
        <w:jc w:val="both"/>
      </w:pPr>
      <w:r>
        <w:rPr>
          <w:rFonts w:ascii="Calibri" w:hAnsi="Calibri"/>
          <w:b w:val="0"/>
          <w:i w:val="0"/>
          <w:color w:val="000000"/>
          <w:sz w:val="20"/>
        </w:rPr>
        <w:t>7.1  (Binding) Until this LOI expires or all Schedule 1 EPCs are signed, and for six (6) months after each park's PAC, the Client shall not, for any Schedule 1 park:</w:t>
      </w:r>
    </w:p>
    <w:p>
      <w:pPr>
        <w:pStyle w:val="ListBullet"/>
        <w:spacing w:after="40"/>
        <w:ind w:left="283"/>
      </w:pPr>
      <w:r>
        <w:rPr>
          <w:rFonts w:ascii="Calibri" w:hAnsi="Calibri"/>
          <w:b w:val="0"/>
          <w:i w:val="0"/>
          <w:color w:val="000000"/>
          <w:sz w:val="20"/>
        </w:rPr>
        <w:t>appoint, negotiate with, or execute an EPC or turnkey BESS supply contract with any contractor other than Lighthief Cyprus Ltd; or</w:t>
      </w:r>
    </w:p>
    <w:p>
      <w:pPr>
        <w:pStyle w:val="ListBullet"/>
        <w:spacing w:after="40"/>
        <w:ind w:left="283"/>
      </w:pPr>
      <w:r>
        <w:rPr>
          <w:rFonts w:ascii="Calibri" w:hAnsi="Calibri"/>
          <w:b w:val="0"/>
          <w:i w:val="0"/>
          <w:color w:val="000000"/>
          <w:sz w:val="20"/>
        </w:rPr>
        <w:t>procure BESS containers, PCS, MV skids, or integrated BESS equipment from any OEM other than Jiangsu Linyang Energy Storage Technology Co., Ltd (or its authorised distributor for the Cyprus portfolio).</w:t>
      </w:r>
    </w:p>
    <w:p>
      <w:pPr>
        <w:spacing w:after="100"/>
        <w:jc w:val="both"/>
      </w:pPr>
      <w:r>
        <w:rPr>
          <w:rFonts w:ascii="Calibri" w:hAnsi="Calibri"/>
          <w:b w:val="0"/>
          <w:i w:val="0"/>
          <w:color w:val="000000"/>
          <w:sz w:val="20"/>
        </w:rPr>
        <w:t>7.2  Exclusivity does not apply if the Client has Valid Reason under Clause 1.3, or if Lighthief fails to execute an EPC for a phase within sixty (60) days after the target date in Section 3 (for that phase only).</w:t>
      </w:r>
    </w:p>
    <w:p>
      <w:pPr>
        <w:spacing w:after="100"/>
        <w:jc w:val="both"/>
      </w:pPr>
      <w:r>
        <w:rPr>
          <w:rFonts w:ascii="Calibri" w:hAnsi="Calibri"/>
          <w:b w:val="0"/>
          <w:i w:val="0"/>
          <w:color w:val="000000"/>
          <w:sz w:val="20"/>
        </w:rPr>
        <w:t>7.3  Exclusivity ends immediately if the Client breaches Clause 1.3, 7, or 8 of this LOI, or if Lighthief materially breaches this LOI and does not remedy within thirty (30) days of written notice.</w:t>
      </w:r>
    </w:p>
    <w:p>
      <w:pPr>
        <w:spacing w:after="100"/>
        <w:jc w:val="both"/>
      </w:pPr>
      <w:r>
        <w:rPr>
          <w:rFonts w:ascii="Calibri" w:hAnsi="Calibri"/>
          <w:b w:val="0"/>
          <w:i w:val="0"/>
          <w:color w:val="000000"/>
          <w:sz w:val="20"/>
        </w:rPr>
        <w:t>7.4  This exclusivity applies to the nine (9) pipeline parks in Schedule 1 only and does not cover Galascope Ltd parks (separate LOI Ref: LCY-LOI-GAL-B1-2026).</w:t>
      </w:r>
    </w:p>
    <w:p>
      <w:pPr>
        <w:spacing w:before="320" w:after="80"/>
      </w:pPr>
      <w:r>
        <w:rPr>
          <w:rFonts w:ascii="Calibri" w:hAnsi="Calibri"/>
          <w:b/>
          <w:i w:val="0"/>
          <w:color w:val="C9A432"/>
          <w:sz w:val="24"/>
        </w:rPr>
        <w:t>8.   CONFIDENTIALITY</w:t>
      </w:r>
    </w:p>
    <w:p>
      <w:pPr>
        <w:spacing w:after="100"/>
        <w:jc w:val="both"/>
      </w:pPr>
      <w:r>
        <w:rPr>
          <w:rFonts w:ascii="Calibri" w:hAnsi="Calibri"/>
          <w:b w:val="0"/>
          <w:i w:val="0"/>
          <w:color w:val="000000"/>
          <w:sz w:val="20"/>
        </w:rPr>
        <w:t>8.1  (Binding) Each Party shall keep confidential this LOI and related information, except to advisers, lenders, or as required by law. Survives five (5) years.</w:t>
      </w:r>
    </w:p>
    <w:p>
      <w:pPr>
        <w:spacing w:before="320" w:after="80"/>
      </w:pPr>
      <w:r>
        <w:rPr>
          <w:rFonts w:ascii="Calibri" w:hAnsi="Calibri"/>
          <w:b/>
          <w:i w:val="0"/>
          <w:color w:val="C9A432"/>
          <w:sz w:val="24"/>
        </w:rPr>
        <w:t>9.   TERM AND GOVERNING LAW</w:t>
      </w:r>
    </w:p>
    <w:p>
      <w:pPr>
        <w:spacing w:after="100"/>
        <w:jc w:val="both"/>
      </w:pPr>
      <w:r>
        <w:rPr>
          <w:rFonts w:ascii="Calibri" w:hAnsi="Calibri"/>
          <w:b w:val="0"/>
          <w:i w:val="0"/>
          <w:color w:val="000000"/>
          <w:sz w:val="20"/>
        </w:rPr>
        <w:t>9.1  This LOI runs until the earlier of: all Schedule 1 EPCs signed, thirty-six (36) months from signing, or termination of a phase under Section 6.</w:t>
      </w:r>
    </w:p>
    <w:p>
      <w:pPr>
        <w:spacing w:after="100"/>
        <w:jc w:val="both"/>
      </w:pPr>
      <w:r>
        <w:rPr>
          <w:rFonts w:ascii="Calibri" w:hAnsi="Calibri"/>
          <w:b w:val="0"/>
          <w:i w:val="0"/>
          <w:color w:val="000000"/>
          <w:sz w:val="20"/>
        </w:rPr>
        <w:t>9.2  Governed by Cyprus law. Cyprus courts have exclusive jurisdiction.</w:t>
      </w:r>
    </w:p>
    <w:p>
      <w:pPr>
        <w:spacing w:after="100"/>
        <w:jc w:val="both"/>
      </w:pPr>
      <w:r>
        <w:rPr>
          <w:rFonts w:ascii="Calibri" w:hAnsi="Calibri"/>
          <w:b w:val="0"/>
          <w:i w:val="0"/>
          <w:color w:val="000000"/>
          <w:sz w:val="20"/>
        </w:rPr>
        <w:t>9.3  Amendments require written agreement.</w:t>
      </w:r>
    </w:p>
    <w:tbl>
      <w:tblPr>
        <w:tblLook w:firstColumn="1" w:firstRow="1" w:lastColumn="0" w:lastRow="0" w:noHBand="0" w:noVBand="1" w:val="04A0"/>
        <w:tblW w:w="7938" w:type="dxa"/>
        <w:tblLayout w:type="fixed"/>
      </w:tblPr>
      <w:tblGrid>
        <w:gridCol w:w="7938"/>
      </w:tblGrid>
      <w:tr>
        <w:tc>
          <w:tcPr>
            <w:shd w:val="clear" w:color="auto" w:fill="FEF3C7"/>
            <w:tcW w:w="7938" w:type="dxa"/>
          </w:tcPr>
          <w:p>
            <w:pPr>
              <w:jc w:val="both"/>
            </w:pPr>
            <w:r>
              <w:rPr>
                <w:rFonts w:ascii="Calibri" w:hAnsi="Calibri"/>
                <w:b/>
                <w:i w:val="0"/>
                <w:color w:val="92400E"/>
                <w:sz w:val="18"/>
              </w:rPr>
              <w:t xml:space="preserve">NATURE OF THIS DOCUMENT:  </w:t>
            </w:r>
            <w:r>
              <w:rPr>
                <w:rFonts w:ascii="Calibri" w:hAnsi="Calibri"/>
                <w:b w:val="0"/>
                <w:i w:val="0"/>
                <w:color w:val="78350F"/>
                <w:sz w:val="18"/>
              </w:rPr>
              <w:t>Non-binding except Clauses 1.3, 7, and 8. Covers nine (9) Esperia pipeline parks only. Galascope Ltd batch is under LCY-LOI-GAL-B1-2026 separately. Section 4 summarises the Indicative + Confirmed Price mechanism for each EPC §6.1.</w:t>
            </w:r>
          </w:p>
        </w:tc>
      </w:tr>
    </w:tbl>
    <w:p>
      <w:pPr>
        <w:spacing w:before="320" w:after="80"/>
      </w:pPr>
      <w:r>
        <w:rPr>
          <w:rFonts w:ascii="Calibri" w:hAnsi="Calibri"/>
          <w:b/>
          <w:i w:val="0"/>
          <w:color w:val="C9A432"/>
          <w:sz w:val="24"/>
        </w:rPr>
        <w:t>SIGNATURES</w:t>
      </w:r>
    </w:p>
    <w:p>
      <w:pPr>
        <w:spacing w:after="200"/>
        <w:jc w:val="both"/>
      </w:pPr>
      <w:r>
        <w:rPr>
          <w:rFonts w:ascii="Calibri" w:hAnsi="Calibri"/>
          <w:b w:val="0"/>
          <w:i w:val="0"/>
          <w:color w:val="000000"/>
          <w:sz w:val="20"/>
        </w:rPr>
        <w:t>IN WITNESS WHEREOF, the authorised representatives of the Parties have executed this Letter of Intent as of the date first written above.</w:t>
      </w:r>
    </w:p>
    <w:tbl>
      <w:tblPr>
        <w:jc w:val="left"/>
        <w:tblLook w:firstColumn="1" w:firstRow="1" w:lastColumn="0" w:lastRow="0" w:noHBand="0" w:noVBand="1" w:val="04A0"/>
        <w:tblW w:w="7938" w:type="dxa"/>
        <w:tblLayout w:type="fixed"/>
      </w:tblPr>
      <w:tblGrid>
        <w:gridCol w:w="3969"/>
        <w:gridCol w:w="3969"/>
      </w:tblGrid>
      <w:tr>
        <w:tc>
          <w:tcPr>
            <w:shd w:val="clear" w:color="auto" w:fill="1A365D"/>
            <w:tcW w:w="3969" w:type="dxa"/>
          </w:tcPr>
          <w:p>
            <w:r>
              <w:rPr>
                <w:rFonts w:ascii="Calibri" w:hAnsi="Calibri"/>
                <w:b/>
                <w:i w:val="0"/>
                <w:color w:val="FFFFFF"/>
                <w:sz w:val="18"/>
              </w:rPr>
              <w:t>For and on behalf of</w:t>
              <w:br/>
              <w:t>Lighthief Cyprus Ltd</w:t>
            </w:r>
          </w:p>
        </w:tc>
        <w:tc>
          <w:tcPr>
            <w:shd w:val="clear" w:color="auto" w:fill="1A365D"/>
            <w:tcW w:w="3969" w:type="dxa"/>
          </w:tcPr>
          <w:p>
            <w:r>
              <w:rPr>
                <w:rFonts w:ascii="Calibri" w:hAnsi="Calibri"/>
                <w:b/>
                <w:i w:val="0"/>
                <w:color w:val="FFFFFF"/>
                <w:sz w:val="18"/>
              </w:rPr>
              <w:t>For and on behalf of</w:t>
              <w:br/>
              <w:t>Esperia Energy Group</w:t>
            </w:r>
          </w:p>
        </w:tc>
      </w:tr>
      <w:tr>
        <w:tc>
          <w:tcPr>
            <w:tcW w:w="3969" w:type="dxa"/>
          </w:tcPr>
          <w:p>
            <w:r>
              <w:rPr>
                <w:rFonts w:ascii="Calibri" w:hAnsi="Calibri"/>
                <w:b w:val="0"/>
                <w:i w:val="0"/>
                <w:color w:val="000000"/>
                <w:sz w:val="20"/>
              </w:rPr>
              <w:t>Name:   Alexander Papacosta</w:t>
            </w:r>
          </w:p>
        </w:tc>
        <w:tc>
          <w:tcPr>
            <w:tcW w:w="3969" w:type="dxa"/>
          </w:tcPr>
          <w:p>
            <w:r>
              <w:rPr>
                <w:rFonts w:ascii="Calibri" w:hAnsi="Calibri"/>
                <w:b w:val="0"/>
                <w:i w:val="0"/>
                <w:color w:val="000000"/>
                <w:sz w:val="20"/>
              </w:rPr>
              <w:t>Name:   ___________________________</w:t>
            </w:r>
          </w:p>
        </w:tc>
      </w:tr>
      <w:tr>
        <w:tc>
          <w:tcPr>
            <w:tcW w:w="3969" w:type="dxa"/>
          </w:tcPr>
          <w:p>
            <w:r>
              <w:rPr>
                <w:rFonts w:ascii="Calibri" w:hAnsi="Calibri"/>
                <w:b w:val="0"/>
                <w:i w:val="0"/>
                <w:color w:val="000000"/>
                <w:sz w:val="20"/>
              </w:rPr>
              <w:t>Title:    Managing Director</w:t>
            </w:r>
          </w:p>
        </w:tc>
        <w:tc>
          <w:tcPr>
            <w:tcW w:w="3969" w:type="dxa"/>
          </w:tcPr>
          <w:p>
            <w:r>
              <w:rPr>
                <w:rFonts w:ascii="Calibri" w:hAnsi="Calibri"/>
                <w:b w:val="0"/>
                <w:i w:val="0"/>
                <w:color w:val="000000"/>
                <w:sz w:val="20"/>
              </w:rPr>
              <w:t>Title:    ___________________________</w:t>
            </w:r>
          </w:p>
        </w:tc>
      </w:tr>
      <w:tr>
        <w:tc>
          <w:tcPr>
            <w:tcW w:w="3969" w:type="dxa"/>
          </w:tcPr>
          <w:p>
            <w:r>
              <w:rPr>
                <w:rFonts w:ascii="Calibri" w:hAnsi="Calibri"/>
                <w:b w:val="0"/>
                <w:i w:val="0"/>
                <w:color w:val="000000"/>
                <w:sz w:val="20"/>
              </w:rPr>
              <w:t>Signature:   ___________________________</w:t>
            </w:r>
          </w:p>
        </w:tc>
        <w:tc>
          <w:tcPr>
            <w:tcW w:w="3969" w:type="dxa"/>
          </w:tcPr>
          <w:p>
            <w:r>
              <w:rPr>
                <w:rFonts w:ascii="Calibri" w:hAnsi="Calibri"/>
                <w:b w:val="0"/>
                <w:i w:val="0"/>
                <w:color w:val="000000"/>
                <w:sz w:val="20"/>
              </w:rPr>
              <w:t>Signature:   ___________________________</w:t>
            </w:r>
          </w:p>
        </w:tc>
      </w:tr>
      <w:tr>
        <w:tc>
          <w:tcPr>
            <w:tcW w:w="3969" w:type="dxa"/>
          </w:tcPr>
          <w:p>
            <w:r>
              <w:rPr>
                <w:rFonts w:ascii="Calibri" w:hAnsi="Calibri"/>
                <w:b w:val="0"/>
                <w:i w:val="0"/>
                <w:color w:val="000000"/>
                <w:sz w:val="20"/>
              </w:rPr>
              <w:t>Date:   ___________________________</w:t>
            </w:r>
          </w:p>
        </w:tc>
        <w:tc>
          <w:tcPr>
            <w:tcW w:w="3969" w:type="dxa"/>
          </w:tcPr>
          <w:p>
            <w:r>
              <w:rPr>
                <w:rFonts w:ascii="Calibri" w:hAnsi="Calibri"/>
                <w:b w:val="0"/>
                <w:i w:val="0"/>
                <w:color w:val="000000"/>
                <w:sz w:val="20"/>
              </w:rPr>
              <w:t>Date:   ___________________________</w:t>
            </w:r>
          </w:p>
        </w:tc>
      </w:tr>
    </w:tbl>
    <w:p>
      <w:pPr>
        <w:spacing w:after="160"/>
      </w:pPr>
    </w:p>
    <w:p>
      <w:pPr>
        <w:jc w:val="center"/>
      </w:pPr>
      <w:r>
        <w:rPr>
          <w:rFonts w:ascii="Calibri" w:hAnsi="Calibri"/>
          <w:b w:val="0"/>
          <w:i w:val="0"/>
          <w:color w:val="404040"/>
          <w:sz w:val="15"/>
        </w:rPr>
        <w:t>Lighthief Cyprus Ltd  |  HE 477423  |  28 October Ave 249, Lophitis Business Center 1, Office 201, 3035 Limassol, Cyprus</w:t>
        <w:br/>
        <w:t>office@lighthief.com  |  +357 77 77 00 50  |  solarfarms.cy  |  Ref: LCY-LOI-ESP-PIPELINE-2026-R7</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