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jc w:val="left"/>
        <w:tblLook w:firstColumn="1" w:firstRow="1" w:lastColumn="0" w:lastRow="0" w:noHBand="0" w:noVBand="1" w:val="04A0"/>
        <w:tblW w:w="7938" w:type="dxa"/>
        <w:tblLayout w:type="fixed"/>
      </w:tblPr>
      <w:tblGrid>
        <w:gridCol w:w="5670"/>
        <w:gridCol w:w="2268"/>
      </w:tblGrid>
      <w:tr>
        <w:tc>
          <w:tcPr>
            <w:shd w:val="clear" w:color="auto" w:fill="1A365D"/>
            <w:vAlign w:val="center"/>
            <w:tcW w:w="5670" w:type="dxa"/>
          </w:tcPr>
          <w:p>
            <w:pPr>
              <w:spacing w:before="120" w:after="120"/>
              <w:jc w:val="left"/>
            </w:pPr>
            <w:r>
              <w:rPr>
                <w:rFonts w:ascii="Calibri" w:hAnsi="Calibri"/>
                <w:b/>
                <w:i w:val="0"/>
                <w:color w:val="FFFFFF"/>
                <w:sz w:val="44"/>
              </w:rPr>
              <w:t>Lighthief</w:t>
            </w:r>
            <w:r>
              <w:rPr>
                <w:rFonts w:ascii="Calibri" w:hAnsi="Calibri"/>
                <w:b w:val="0"/>
                <w:i w:val="0"/>
                <w:color w:val="FFFFFF"/>
                <w:sz w:val="22"/>
              </w:rPr>
              <w:t xml:space="preserve"> Cyprus Ltd</w:t>
            </w:r>
          </w:p>
        </w:tc>
        <w:tc>
          <w:tcPr>
            <w:shd w:val="clear" w:color="auto" w:fill="1A365D"/>
            <w:vAlign w:val="center"/>
            <w:tcW w:w="2268" w:type="dxa"/>
          </w:tcPr>
          <w:p>
            <w:pPr>
              <w:spacing w:before="120" w:after="120"/>
              <w:jc w:val="right"/>
            </w:pPr>
            <w:r>
              <w:rPr>
                <w:rFonts w:ascii="Calibri" w:hAnsi="Calibri"/>
                <w:b/>
                <w:i w:val="0"/>
                <w:color w:val="C9A432"/>
                <w:sz w:val="16"/>
              </w:rPr>
              <w:t>LETTER OF INTENT</w:t>
              <w:br/>
            </w:r>
            <w:r>
              <w:rPr>
                <w:rFonts w:ascii="Calibri" w:hAnsi="Calibri"/>
                <w:b w:val="0"/>
                <w:i w:val="0"/>
                <w:color w:val="FFFFFF"/>
                <w:sz w:val="16"/>
              </w:rPr>
              <w:t>Ref: LCY-LOI-ESP-PIPELINE-2026-R5</w:t>
              <w:br/>
            </w:r>
            <w:r>
              <w:rPr>
                <w:rFonts w:ascii="Calibri" w:hAnsi="Calibri"/>
                <w:b w:val="0"/>
                <w:i w:val="0"/>
                <w:color w:val="FFFFFF"/>
                <w:sz w:val="16"/>
              </w:rPr>
              <w:t>Date: May 2026</w:t>
              <w:br/>
            </w:r>
            <w:r>
              <w:rPr>
                <w:rFonts w:ascii="Calibri" w:hAnsi="Calibri"/>
                <w:b/>
                <w:i w:val="0"/>
                <w:color w:val="C9A432"/>
                <w:sz w:val="16"/>
              </w:rPr>
              <w:t>STRICTLY CONFIDENTIAL</w:t>
              <w:br/>
            </w:r>
          </w:p>
        </w:tc>
      </w:tr>
    </w:tbl>
    <w:p>
      <w:pPr>
        <w:spacing w:after="40"/>
      </w:pPr>
    </w:p>
    <w:p>
      <w:pPr>
        <w:spacing w:after="40"/>
        <w:jc w:val="left"/>
      </w:pPr>
      <w:r>
        <w:rPr>
          <w:rFonts w:ascii="Calibri" w:hAnsi="Calibri"/>
          <w:b/>
          <w:i w:val="0"/>
          <w:color w:val="1A365D"/>
          <w:sz w:val="36"/>
        </w:rPr>
        <w:t>Letter of Intent</w:t>
      </w:r>
    </w:p>
    <w:p>
      <w:pPr>
        <w:spacing w:after="200"/>
      </w:pPr>
      <w:r>
        <w:rPr>
          <w:rFonts w:ascii="Calibri" w:hAnsi="Calibri"/>
          <w:b w:val="0"/>
          <w:i/>
          <w:color w:val="404040"/>
          <w:sz w:val="22"/>
        </w:rPr>
        <w:t>Esperia Energy Group — Galascope &amp; BESS Pipeline Commitment</w:t>
      </w:r>
    </w:p>
    <w:p>
      <w:pPr>
        <w:spacing w:before="320" w:after="80"/>
      </w:pPr>
      <w:r>
        <w:rPr>
          <w:rFonts w:ascii="Calibri" w:hAnsi="Calibri"/>
          <w:b/>
          <w:i w:val="0"/>
          <w:color w:val="C9A432"/>
          <w:sz w:val="24"/>
        </w:rPr>
        <w:t>PARTIES</w:t>
      </w:r>
    </w:p>
    <w:tbl>
      <w:tblPr>
        <w:jc w:val="left"/>
        <w:tblLook w:firstColumn="1" w:firstRow="1" w:lastColumn="0" w:lastRow="0" w:noHBand="0" w:noVBand="1" w:val="04A0"/>
        <w:tblW w:w="7937" w:type="dxa"/>
        <w:tblLayout w:type="fixed"/>
      </w:tblPr>
      <w:tblGrid>
        <w:gridCol w:w="1417"/>
        <w:gridCol w:w="6520"/>
      </w:tblGrid>
      <w:tr>
        <w:tc>
          <w:tcPr>
            <w:shd w:val="clear" w:color="auto" w:fill="1A365D"/>
            <w:vAlign w:val="center"/>
            <w:tcW w:w="1417" w:type="dxa"/>
          </w:tcPr>
          <w:p>
            <w:pPr>
              <w:spacing w:before="80" w:after="80"/>
              <w:jc w:val="center"/>
            </w:pPr>
            <w:r>
              <w:rPr>
                <w:rFonts w:ascii="Calibri" w:hAnsi="Calibri"/>
                <w:b/>
                <w:i w:val="0"/>
                <w:color w:val="FFFFFF"/>
                <w:sz w:val="20"/>
              </w:rPr>
              <w:t>Contractor</w:t>
            </w:r>
          </w:p>
        </w:tc>
        <w:tc>
          <w:tcPr>
            <w:tcW w:w="6520" w:type="dxa"/>
          </w:tcPr>
          <w:p>
            <w:pPr>
              <w:spacing w:before="80" w:after="80"/>
            </w:pPr>
            <w:r>
              <w:rPr>
                <w:rFonts w:ascii="Calibri" w:hAnsi="Calibri"/>
                <w:b w:val="0"/>
                <w:i w:val="0"/>
                <w:color w:val="000000"/>
                <w:sz w:val="18"/>
              </w:rPr>
              <w:t>Lighthief Cyprus Ltd</w:t>
              <w:br/>
              <w:t>Registration No. HE 477423</w:t>
              <w:br/>
              <w:t>28 October Ave 249, Lophitis Business Center 1,</w:t>
              <w:br/>
              <w:t>Office 201, 3035 Limassol, Cyprus</w:t>
              <w:br/>
              <w:t>office@lighthief.com | +357 77 77 00 50</w:t>
              <w:br/>
              <w:t>(hereinafter “Lighthief” or the “Contractor”)</w:t>
            </w:r>
          </w:p>
        </w:tc>
      </w:tr>
      <w:tr>
        <w:tc>
          <w:tcPr>
            <w:shd w:val="clear" w:color="auto" w:fill="1A365D"/>
            <w:vAlign w:val="center"/>
            <w:tcW w:w="1417" w:type="dxa"/>
          </w:tcPr>
          <w:p>
            <w:pPr>
              <w:spacing w:before="80" w:after="80"/>
              <w:jc w:val="center"/>
            </w:pPr>
            <w:r>
              <w:rPr>
                <w:rFonts w:ascii="Calibri" w:hAnsi="Calibri"/>
                <w:b/>
                <w:i w:val="0"/>
                <w:color w:val="FFFFFF"/>
                <w:sz w:val="20"/>
              </w:rPr>
              <w:t>Client</w:t>
            </w:r>
          </w:p>
        </w:tc>
        <w:tc>
          <w:tcPr>
            <w:tcW w:w="6520" w:type="dxa"/>
          </w:tcPr>
          <w:p>
            <w:pPr>
              <w:spacing w:before="80" w:after="80"/>
            </w:pPr>
            <w:r>
              <w:rPr>
                <w:rFonts w:ascii="Calibri" w:hAnsi="Calibri"/>
                <w:b w:val="0"/>
                <w:i w:val="0"/>
                <w:color w:val="000000"/>
                <w:sz w:val="18"/>
              </w:rPr>
              <w:t>Esperia Energy Group</w:t>
              <w:br/>
              <w:t>represented by: Dino Constantinou (Owner)</w:t>
              <w:br/>
              <w:t>Famagusta, Limassol and Nicosia districts, Cyprus</w:t>
              <w:br/>
              <w:br/>
              <w:t>(hereinafter “the Client”)</w:t>
            </w:r>
          </w:p>
        </w:tc>
      </w:tr>
    </w:tbl>
    <w:p>
      <w:pPr>
        <w:spacing w:after="40"/>
      </w:pPr>
    </w:p>
    <w:p>
      <w:pPr>
        <w:spacing w:before="320" w:after="80"/>
      </w:pPr>
      <w:r>
        <w:rPr>
          <w:rFonts w:ascii="Calibri" w:hAnsi="Calibri"/>
          <w:b/>
          <w:i w:val="0"/>
          <w:color w:val="C9A432"/>
          <w:sz w:val="24"/>
        </w:rPr>
        <w:t>RECITALS</w:t>
      </w:r>
    </w:p>
    <w:p>
      <w:pPr>
        <w:spacing w:after="80"/>
        <w:jc w:val="both"/>
      </w:pPr>
      <w:r>
        <w:rPr>
          <w:rFonts w:ascii="Calibri" w:hAnsi="Calibri"/>
          <w:b/>
          <w:i w:val="0"/>
          <w:color w:val="1A365D"/>
          <w:sz w:val="20"/>
        </w:rPr>
        <w:t xml:space="preserve">A.  </w:t>
      </w:r>
      <w:r>
        <w:rPr>
          <w:rFonts w:ascii="Calibri" w:hAnsi="Calibri"/>
          <w:b w:val="0"/>
          <w:i w:val="0"/>
          <w:color w:val="000000"/>
          <w:sz w:val="20"/>
        </w:rPr>
        <w:t>Lighthief supplies and installs grid-connected BESS for hybrid PV projects in Cyprus.</w:t>
      </w:r>
    </w:p>
    <w:p>
      <w:pPr>
        <w:spacing w:after="80"/>
        <w:jc w:val="both"/>
      </w:pPr>
      <w:r>
        <w:rPr>
          <w:rFonts w:ascii="Calibri" w:hAnsi="Calibri"/>
          <w:b/>
          <w:i w:val="0"/>
          <w:color w:val="1A365D"/>
          <w:sz w:val="20"/>
        </w:rPr>
        <w:t xml:space="preserve">B.  </w:t>
      </w:r>
      <w:r>
        <w:rPr>
          <w:rFonts w:ascii="Calibri" w:hAnsi="Calibri"/>
          <w:b w:val="0"/>
          <w:i w:val="0"/>
          <w:color w:val="000000"/>
          <w:sz w:val="20"/>
        </w:rPr>
        <w:t>The Client (Esperia Energy Group) develops BESS projects in Famagusta, Limassol, and Nicosia.</w:t>
      </w:r>
    </w:p>
    <w:p>
      <w:pPr>
        <w:spacing w:after="80"/>
        <w:jc w:val="both"/>
      </w:pPr>
      <w:r>
        <w:rPr>
          <w:rFonts w:ascii="Calibri" w:hAnsi="Calibri"/>
          <w:b/>
          <w:i w:val="0"/>
          <w:color w:val="1A365D"/>
          <w:sz w:val="20"/>
        </w:rPr>
        <w:t xml:space="preserve">C.  </w:t>
      </w:r>
      <w:r>
        <w:rPr>
          <w:rFonts w:ascii="Calibri" w:hAnsi="Calibri"/>
          <w:b w:val="0"/>
          <w:i w:val="0"/>
          <w:color w:val="000000"/>
          <w:sz w:val="20"/>
        </w:rPr>
        <w:t>The Client wishes to commit to the eleven (11) parks in Schedule 1, including Galascope 1 and Galascope 2 (Galascope Ltd) and nine (9) further group parks.</w:t>
      </w:r>
    </w:p>
    <w:p>
      <w:pPr>
        <w:spacing w:after="40"/>
      </w:pPr>
    </w:p>
    <w:p>
      <w:pPr>
        <w:spacing w:after="160"/>
        <w:jc w:val="both"/>
      </w:pPr>
      <w:r>
        <w:rPr>
          <w:rFonts w:ascii="Calibri" w:hAnsi="Calibri"/>
          <w:b w:val="0"/>
          <w:i w:val="0"/>
          <w:color w:val="000000"/>
          <w:sz w:val="20"/>
        </w:rPr>
        <w:t>NOW THEREFORE, the Parties agree as follows:</w:t>
      </w:r>
    </w:p>
    <w:p>
      <w:pPr>
        <w:spacing w:before="320" w:after="80"/>
      </w:pPr>
      <w:r>
        <w:rPr>
          <w:rFonts w:ascii="Calibri" w:hAnsi="Calibri"/>
          <w:b/>
          <w:i w:val="0"/>
          <w:color w:val="C9A432"/>
          <w:sz w:val="24"/>
        </w:rPr>
        <w:t>1.   COMMITMENT AND PURPOSE</w:t>
      </w:r>
    </w:p>
    <w:p>
      <w:pPr>
        <w:spacing w:after="100"/>
        <w:jc w:val="both"/>
      </w:pPr>
      <w:r>
        <w:rPr>
          <w:rFonts w:ascii="Calibri" w:hAnsi="Calibri"/>
          <w:b w:val="0"/>
          <w:i w:val="0"/>
          <w:color w:val="000000"/>
          <w:sz w:val="20"/>
        </w:rPr>
        <w:t>1.1  The Client confirms its intention to award BESS EPC contracts to Lighthief for eleven (11) parks in Schedule 1: Galascope 1 (5.0 MW / 20 MWh) and Galascope 2 (2.5 MW / 10 MWh) with Galascope Ltd under EPC ref. LCY-EPC-GAL-B1-2026; and nine (9) further Esperia group parks (73.5 MW / 305.0 MWh). Combined indicative value €33,488,228 (excl. VAT), based on Linyang quotation LY202601271 and group-order pricing.</w:t>
      </w:r>
    </w:p>
    <w:p>
      <w:pPr>
        <w:spacing w:after="100"/>
        <w:jc w:val="both"/>
      </w:pPr>
      <w:r>
        <w:rPr>
          <w:rFonts w:ascii="Calibri" w:hAnsi="Calibri"/>
          <w:b w:val="0"/>
          <w:i w:val="0"/>
          <w:color w:val="000000"/>
          <w:sz w:val="20"/>
        </w:rPr>
        <w:t>1.2  This LOI supports Lighthief’s procurement and OEM planning. Except where expressly stated as binding below, this LOI is not an obligation to sign any EPC; each EPC (Galascope batch and each pipeline phase) is binding only when signed.</w:t>
      </w:r>
    </w:p>
    <w:p>
      <w:pPr>
        <w:spacing w:after="100"/>
        <w:jc w:val="both"/>
      </w:pPr>
      <w:r>
        <w:rPr>
          <w:rFonts w:ascii="Calibri" w:hAnsi="Calibri"/>
          <w:b w:val="0"/>
          <w:i w:val="0"/>
          <w:color w:val="000000"/>
          <w:sz w:val="20"/>
        </w:rPr>
        <w:t>1.3  (Binding) If the Client withdraws from Schedule 1 without valid reason after Lighthief has reasonably relied on this LOI, the Client shall reimburse documented pre-contractual costs directly incurred.</w:t>
      </w:r>
    </w:p>
    <w:p>
      <w:pPr>
        <w:spacing w:before="320" w:after="80"/>
      </w:pPr>
      <w:r>
        <w:rPr>
          <w:rFonts w:ascii="Calibri" w:hAnsi="Calibri"/>
          <w:b/>
          <w:i w:val="0"/>
          <w:color w:val="C9A432"/>
          <w:sz w:val="24"/>
        </w:rPr>
        <w:t>2.   SCHEDULE 1 — PARKS AND INDICATIVE PRICING</w:t>
      </w:r>
    </w:p>
    <w:p>
      <w:pPr>
        <w:spacing w:after="100"/>
        <w:jc w:val="both"/>
      </w:pPr>
      <w:r>
        <w:rPr>
          <w:rFonts w:ascii="Calibri" w:hAnsi="Calibri"/>
          <w:b w:val="0"/>
          <w:i w:val="0"/>
          <w:color w:val="000000"/>
          <w:sz w:val="20"/>
        </w:rPr>
        <w:t>Schedule 1 figures are Indicative Prices only. Each park’s final Contract Price is set under the Indicative + Confirmed Price mechanism in Section 4 and in the executed EPC (Lighthief template v5.1 or successor). Pricing is calculated per effective MWh (nameplate energy capacity per park in EPC Schedule A).</w:t>
      </w:r>
    </w:p>
    <w:tbl>
      <w:tblPr>
        <w:jc w:val="left"/>
        <w:tblLook w:firstColumn="1" w:firstRow="1" w:lastColumn="0" w:lastRow="0" w:noHBand="0" w:noVBand="1" w:val="04A0"/>
        <w:tblW w:w="7936" w:type="dxa"/>
        <w:tblLayout w:type="fixed"/>
      </w:tblPr>
      <w:tblGrid>
        <w:gridCol w:w="1984"/>
        <w:gridCol w:w="1984"/>
        <w:gridCol w:w="1984"/>
        <w:gridCol w:w="1984"/>
      </w:tblGrid>
      <w:tr>
        <w:tc>
          <w:tcPr>
            <w:shd w:val="clear" w:color="auto" w:fill="EBF0F7"/>
            <w:vAlign w:val="center"/>
            <w:tcW w:w="1984" w:type="dxa"/>
          </w:tcPr>
          <w:p>
            <w:pPr>
              <w:spacing w:before="120" w:after="120"/>
              <w:jc w:val="center"/>
            </w:pPr>
            <w:r>
              <w:rPr>
                <w:rFonts w:ascii="Calibri" w:hAnsi="Calibri"/>
                <w:b/>
                <w:i w:val="0"/>
                <w:color w:val="1A365D"/>
                <w:sz w:val="24"/>
              </w:rPr>
              <w:t>11 Parks</w:t>
              <w:br/>
            </w:r>
            <w:r>
              <w:rPr>
                <w:rFonts w:ascii="Calibri" w:hAnsi="Calibri"/>
                <w:b w:val="0"/>
                <w:i w:val="0"/>
                <w:color w:val="404040"/>
                <w:sz w:val="15"/>
              </w:rPr>
              <w:t>Schedule 1 Total</w:t>
            </w:r>
          </w:p>
        </w:tc>
        <w:tc>
          <w:tcPr>
            <w:shd w:val="clear" w:color="auto" w:fill="EBF0F7"/>
            <w:vAlign w:val="center"/>
            <w:tcW w:w="1984" w:type="dxa"/>
          </w:tcPr>
          <w:p>
            <w:pPr>
              <w:spacing w:before="120" w:after="120"/>
              <w:jc w:val="center"/>
            </w:pPr>
            <w:r>
              <w:rPr>
                <w:rFonts w:ascii="Calibri" w:hAnsi="Calibri"/>
                <w:b/>
                <w:i w:val="0"/>
                <w:color w:val="1A365D"/>
                <w:sz w:val="24"/>
              </w:rPr>
              <w:t>80.99 MW</w:t>
              <w:br/>
            </w:r>
            <w:r>
              <w:rPr>
                <w:rFonts w:ascii="Calibri" w:hAnsi="Calibri"/>
                <w:b w:val="0"/>
                <w:i w:val="0"/>
                <w:color w:val="404040"/>
                <w:sz w:val="15"/>
              </w:rPr>
              <w:t>Total BESS Power</w:t>
            </w:r>
          </w:p>
        </w:tc>
        <w:tc>
          <w:tcPr>
            <w:shd w:val="clear" w:color="auto" w:fill="EBF0F7"/>
            <w:vAlign w:val="center"/>
            <w:tcW w:w="1984" w:type="dxa"/>
          </w:tcPr>
          <w:p>
            <w:pPr>
              <w:spacing w:before="120" w:after="120"/>
              <w:jc w:val="center"/>
            </w:pPr>
            <w:r>
              <w:rPr>
                <w:rFonts w:ascii="Calibri" w:hAnsi="Calibri"/>
                <w:b/>
                <w:i w:val="0"/>
                <w:color w:val="1A365D"/>
                <w:sz w:val="24"/>
              </w:rPr>
              <w:t>335.0 MWh</w:t>
              <w:br/>
            </w:r>
            <w:r>
              <w:rPr>
                <w:rFonts w:ascii="Calibri" w:hAnsi="Calibri"/>
                <w:b w:val="0"/>
                <w:i w:val="0"/>
                <w:color w:val="404040"/>
                <w:sz w:val="15"/>
              </w:rPr>
              <w:t>Total BESS Energy</w:t>
            </w:r>
          </w:p>
        </w:tc>
        <w:tc>
          <w:tcPr>
            <w:shd w:val="clear" w:color="auto" w:fill="EBF0F7"/>
            <w:vAlign w:val="center"/>
            <w:tcW w:w="1984" w:type="dxa"/>
          </w:tcPr>
          <w:p>
            <w:pPr>
              <w:spacing w:before="120" w:after="120"/>
              <w:jc w:val="center"/>
            </w:pPr>
            <w:r>
              <w:rPr>
                <w:rFonts w:ascii="Calibri" w:hAnsi="Calibri"/>
                <w:b/>
                <w:i w:val="0"/>
                <w:color w:val="1A365D"/>
                <w:sz w:val="24"/>
              </w:rPr>
              <w:t>€33,488,228</w:t>
              <w:br/>
            </w:r>
            <w:r>
              <w:rPr>
                <w:rFonts w:ascii="Calibri" w:hAnsi="Calibri"/>
                <w:b w:val="0"/>
                <w:i w:val="0"/>
                <w:color w:val="404040"/>
                <w:sz w:val="15"/>
              </w:rPr>
              <w:t>Indicative Value (ex. VAT)</w:t>
            </w:r>
          </w:p>
        </w:tc>
      </w:tr>
    </w:tbl>
    <w:p>
      <w:pPr>
        <w:spacing w:after="80"/>
      </w:pPr>
    </w:p>
    <w:tbl>
      <w:tblPr>
        <w:jc w:val="left"/>
        <w:tblLook w:firstColumn="1" w:firstRow="1" w:lastColumn="0" w:lastRow="0" w:noHBand="0" w:noVBand="1" w:val="04A0"/>
        <w:tblW w:w="7936" w:type="dxa"/>
        <w:tblLayout w:type="fixed"/>
      </w:tblPr>
      <w:tblGrid>
        <w:gridCol w:w="2948"/>
        <w:gridCol w:w="963"/>
        <w:gridCol w:w="737"/>
        <w:gridCol w:w="737"/>
        <w:gridCol w:w="567"/>
        <w:gridCol w:w="1984"/>
      </w:tblGrid>
      <w:tr>
        <w:tc>
          <w:tcPr>
            <w:shd w:val="clear" w:color="auto" w:fill="1A365D"/>
            <w:vAlign w:val="center"/>
            <w:tcW w:w="2948" w:type="dxa"/>
          </w:tcPr>
          <w:p>
            <w:pPr>
              <w:jc w:val="center"/>
            </w:pPr>
            <w:r>
              <w:rPr>
                <w:rFonts w:ascii="Calibri" w:hAnsi="Calibri"/>
                <w:b/>
                <w:i w:val="0"/>
                <w:color w:val="FFFFFF"/>
                <w:sz w:val="16"/>
              </w:rPr>
              <w:t>Park / Project</w:t>
            </w:r>
          </w:p>
        </w:tc>
        <w:tc>
          <w:tcPr>
            <w:shd w:val="clear" w:color="auto" w:fill="1A365D"/>
            <w:vAlign w:val="center"/>
            <w:tcW w:w="963" w:type="dxa"/>
          </w:tcPr>
          <w:p>
            <w:pPr>
              <w:jc w:val="center"/>
            </w:pPr>
            <w:r>
              <w:rPr>
                <w:rFonts w:ascii="Calibri" w:hAnsi="Calibri"/>
                <w:b/>
                <w:i w:val="0"/>
                <w:color w:val="FFFFFF"/>
                <w:sz w:val="16"/>
              </w:rPr>
              <w:t>District</w:t>
            </w:r>
          </w:p>
        </w:tc>
        <w:tc>
          <w:tcPr>
            <w:shd w:val="clear" w:color="auto" w:fill="1A365D"/>
            <w:vAlign w:val="center"/>
            <w:tcW w:w="737" w:type="dxa"/>
          </w:tcPr>
          <w:p>
            <w:pPr>
              <w:jc w:val="center"/>
            </w:pPr>
            <w:r>
              <w:rPr>
                <w:rFonts w:ascii="Calibri" w:hAnsi="Calibri"/>
                <w:b/>
                <w:i w:val="0"/>
                <w:color w:val="FFFFFF"/>
                <w:sz w:val="16"/>
              </w:rPr>
              <w:t>MW</w:t>
            </w:r>
          </w:p>
        </w:tc>
        <w:tc>
          <w:tcPr>
            <w:shd w:val="clear" w:color="auto" w:fill="1A365D"/>
            <w:vAlign w:val="center"/>
            <w:tcW w:w="737" w:type="dxa"/>
          </w:tcPr>
          <w:p>
            <w:pPr>
              <w:jc w:val="center"/>
            </w:pPr>
            <w:r>
              <w:rPr>
                <w:rFonts w:ascii="Calibri" w:hAnsi="Calibri"/>
                <w:b/>
                <w:i w:val="0"/>
                <w:color w:val="FFFFFF"/>
                <w:sz w:val="16"/>
              </w:rPr>
              <w:t>MWh (eff.)</w:t>
            </w:r>
          </w:p>
        </w:tc>
        <w:tc>
          <w:tcPr>
            <w:shd w:val="clear" w:color="auto" w:fill="1A365D"/>
            <w:vAlign w:val="center"/>
            <w:tcW w:w="567" w:type="dxa"/>
          </w:tcPr>
          <w:p>
            <w:pPr>
              <w:jc w:val="center"/>
            </w:pPr>
            <w:r>
              <w:rPr>
                <w:rFonts w:ascii="Calibri" w:hAnsi="Calibri"/>
                <w:b/>
                <w:i w:val="0"/>
                <w:color w:val="FFFFFF"/>
                <w:sz w:val="16"/>
              </w:rPr>
              <w:t>Cont.</w:t>
            </w:r>
          </w:p>
        </w:tc>
        <w:tc>
          <w:tcPr>
            <w:shd w:val="clear" w:color="auto" w:fill="1A365D"/>
            <w:vAlign w:val="center"/>
            <w:tcW w:w="1984" w:type="dxa"/>
          </w:tcPr>
          <w:p>
            <w:pPr>
              <w:jc w:val="center"/>
            </w:pPr>
            <w:r>
              <w:rPr>
                <w:rFonts w:ascii="Calibri" w:hAnsi="Calibri"/>
                <w:b/>
                <w:i w:val="0"/>
                <w:color w:val="FFFFFF"/>
                <w:sz w:val="16"/>
              </w:rPr>
              <w:t>Indicative Price (ex. VAT)</w:t>
            </w:r>
          </w:p>
        </w:tc>
      </w:tr>
      <w:tr>
        <w:tc>
          <w:tcPr>
            <w:tcW w:w="2948" w:type="dxa"/>
          </w:tcPr>
          <w:p>
            <w:pPr>
              <w:jc w:val="left"/>
            </w:pPr>
            <w:r>
              <w:rPr>
                <w:rFonts w:ascii="Calibri" w:hAnsi="Calibri"/>
                <w:b w:val="0"/>
                <w:i w:val="0"/>
                <w:color w:val="000000"/>
                <w:sz w:val="17"/>
              </w:rPr>
              <w:t>Galascope 1</w:t>
            </w:r>
          </w:p>
        </w:tc>
        <w:tc>
          <w:tcPr>
            <w:tcW w:w="963" w:type="dxa"/>
          </w:tcPr>
          <w:p>
            <w:pPr>
              <w:jc w:val="center"/>
            </w:pPr>
            <w:r>
              <w:rPr>
                <w:rFonts w:ascii="Calibri" w:hAnsi="Calibri"/>
                <w:b w:val="0"/>
                <w:i w:val="0"/>
                <w:color w:val="000000"/>
                <w:sz w:val="17"/>
              </w:rPr>
              <w:t>Famagusta</w:t>
            </w:r>
          </w:p>
        </w:tc>
        <w:tc>
          <w:tcPr>
            <w:tcW w:w="737" w:type="dxa"/>
          </w:tcPr>
          <w:p>
            <w:pPr>
              <w:jc w:val="right"/>
            </w:pPr>
            <w:r>
              <w:rPr>
                <w:rFonts w:ascii="Calibri" w:hAnsi="Calibri"/>
                <w:b w:val="0"/>
                <w:i w:val="0"/>
                <w:color w:val="000000"/>
                <w:sz w:val="17"/>
              </w:rPr>
              <w:t>5.00</w:t>
            </w:r>
          </w:p>
        </w:tc>
        <w:tc>
          <w:tcPr>
            <w:tcW w:w="737" w:type="dxa"/>
          </w:tcPr>
          <w:p>
            <w:pPr>
              <w:jc w:val="right"/>
            </w:pPr>
            <w:r>
              <w:rPr>
                <w:rFonts w:ascii="Calibri" w:hAnsi="Calibri"/>
                <w:b w:val="0"/>
                <w:i w:val="0"/>
                <w:color w:val="000000"/>
                <w:sz w:val="17"/>
              </w:rPr>
              <w:t>20.06</w:t>
            </w:r>
          </w:p>
        </w:tc>
        <w:tc>
          <w:tcPr>
            <w:tcW w:w="567" w:type="dxa"/>
          </w:tcPr>
          <w:p>
            <w:pPr>
              <w:jc w:val="right"/>
            </w:pPr>
            <w:r>
              <w:rPr>
                <w:rFonts w:ascii="Calibri" w:hAnsi="Calibri"/>
                <w:b w:val="0"/>
                <w:i w:val="0"/>
                <w:color w:val="000000"/>
                <w:sz w:val="17"/>
              </w:rPr>
              <w:t>5</w:t>
            </w:r>
          </w:p>
        </w:tc>
        <w:tc>
          <w:tcPr>
            <w:tcW w:w="1984" w:type="dxa"/>
          </w:tcPr>
          <w:p>
            <w:pPr>
              <w:jc w:val="right"/>
            </w:pPr>
            <w:r>
              <w:rPr>
                <w:rFonts w:ascii="Calibri" w:hAnsi="Calibri"/>
                <w:b w:val="0"/>
                <w:i w:val="0"/>
                <w:color w:val="000000"/>
                <w:sz w:val="17"/>
              </w:rPr>
              <w:t>€2,238,000</w:t>
            </w:r>
          </w:p>
        </w:tc>
      </w:tr>
      <w:tr>
        <w:tc>
          <w:tcPr>
            <w:tcW w:w="2948" w:type="dxa"/>
          </w:tcPr>
          <w:p>
            <w:pPr>
              <w:jc w:val="left"/>
            </w:pPr>
            <w:r>
              <w:rPr>
                <w:rFonts w:ascii="Calibri" w:hAnsi="Calibri"/>
                <w:b w:val="0"/>
                <w:i w:val="0"/>
                <w:color w:val="000000"/>
                <w:sz w:val="17"/>
              </w:rPr>
              <w:t>Galascope 2</w:t>
            </w:r>
          </w:p>
        </w:tc>
        <w:tc>
          <w:tcPr>
            <w:tcW w:w="963" w:type="dxa"/>
          </w:tcPr>
          <w:p>
            <w:pPr>
              <w:jc w:val="center"/>
            </w:pPr>
            <w:r>
              <w:rPr>
                <w:rFonts w:ascii="Calibri" w:hAnsi="Calibri"/>
                <w:b w:val="0"/>
                <w:i w:val="0"/>
                <w:color w:val="000000"/>
                <w:sz w:val="17"/>
              </w:rPr>
              <w:t>Famagusta</w:t>
            </w:r>
          </w:p>
        </w:tc>
        <w:tc>
          <w:tcPr>
            <w:tcW w:w="737" w:type="dxa"/>
          </w:tcPr>
          <w:p>
            <w:pPr>
              <w:jc w:val="right"/>
            </w:pPr>
            <w:r>
              <w:rPr>
                <w:rFonts w:ascii="Calibri" w:hAnsi="Calibri"/>
                <w:b w:val="0"/>
                <w:i w:val="0"/>
                <w:color w:val="000000"/>
                <w:sz w:val="17"/>
              </w:rPr>
              <w:t>2.50</w:t>
            </w:r>
          </w:p>
        </w:tc>
        <w:tc>
          <w:tcPr>
            <w:tcW w:w="737" w:type="dxa"/>
          </w:tcPr>
          <w:p>
            <w:pPr>
              <w:jc w:val="right"/>
            </w:pPr>
            <w:r>
              <w:rPr>
                <w:rFonts w:ascii="Calibri" w:hAnsi="Calibri"/>
                <w:b w:val="0"/>
                <w:i w:val="0"/>
                <w:color w:val="000000"/>
                <w:sz w:val="17"/>
              </w:rPr>
              <w:t>10.03</w:t>
            </w:r>
          </w:p>
        </w:tc>
        <w:tc>
          <w:tcPr>
            <w:tcW w:w="567" w:type="dxa"/>
          </w:tcPr>
          <w:p>
            <w:pPr>
              <w:jc w:val="right"/>
            </w:pPr>
            <w:r>
              <w:rPr>
                <w:rFonts w:ascii="Calibri" w:hAnsi="Calibri"/>
                <w:b w:val="0"/>
                <w:i w:val="0"/>
                <w:color w:val="000000"/>
                <w:sz w:val="17"/>
              </w:rPr>
              <w:t>3</w:t>
            </w:r>
          </w:p>
        </w:tc>
        <w:tc>
          <w:tcPr>
            <w:tcW w:w="1984" w:type="dxa"/>
          </w:tcPr>
          <w:p>
            <w:pPr>
              <w:jc w:val="right"/>
            </w:pPr>
            <w:r>
              <w:rPr>
                <w:rFonts w:ascii="Calibri" w:hAnsi="Calibri"/>
                <w:b w:val="0"/>
                <w:i w:val="0"/>
                <w:color w:val="000000"/>
                <w:sz w:val="17"/>
              </w:rPr>
              <w:t>€1,206,300</w:t>
            </w:r>
          </w:p>
        </w:tc>
      </w:tr>
      <w:tr>
        <w:tc>
          <w:tcPr>
            <w:shd w:val="clear" w:color="auto" w:fill="1A365D"/>
            <w:tcW w:w="2948" w:type="dxa"/>
          </w:tcPr>
          <w:p>
            <w:pPr>
              <w:jc w:val="left"/>
            </w:pPr>
            <w:r>
              <w:rPr>
                <w:rFonts w:ascii="Calibri" w:hAnsi="Calibri"/>
                <w:b/>
                <w:i w:val="0"/>
                <w:color w:val="FFFFFF"/>
                <w:sz w:val="17"/>
              </w:rPr>
              <w:t>Galascope Ltd — Batch 1 (confirmed pricing May 2026) — Subtotal</w:t>
            </w:r>
          </w:p>
        </w:tc>
        <w:tc>
          <w:tcPr>
            <w:shd w:val="clear" w:color="auto" w:fill="1A365D"/>
            <w:tcW w:w="963" w:type="dxa"/>
          </w:tcPr>
          <w:p>
            <w:pPr>
              <w:jc w:val="center"/>
            </w:pPr>
            <w:r>
              <w:rPr>
                <w:rFonts w:ascii="Calibri" w:hAnsi="Calibri"/>
                <w:b/>
                <w:i w:val="0"/>
                <w:color w:val="FFFFFF"/>
                <w:sz w:val="17"/>
              </w:rPr>
            </w:r>
          </w:p>
        </w:tc>
        <w:tc>
          <w:tcPr>
            <w:shd w:val="clear" w:color="auto" w:fill="1A365D"/>
            <w:tcW w:w="737" w:type="dxa"/>
          </w:tcPr>
          <w:p>
            <w:pPr>
              <w:jc w:val="right"/>
            </w:pPr>
            <w:r>
              <w:rPr>
                <w:rFonts w:ascii="Calibri" w:hAnsi="Calibri"/>
                <w:b/>
                <w:i w:val="0"/>
                <w:color w:val="FFFFFF"/>
                <w:sz w:val="17"/>
              </w:rPr>
              <w:t>7.50</w:t>
            </w:r>
          </w:p>
        </w:tc>
        <w:tc>
          <w:tcPr>
            <w:shd w:val="clear" w:color="auto" w:fill="1A365D"/>
            <w:tcW w:w="737" w:type="dxa"/>
          </w:tcPr>
          <w:p>
            <w:pPr>
              <w:jc w:val="right"/>
            </w:pPr>
            <w:r>
              <w:rPr>
                <w:rFonts w:ascii="Calibri" w:hAnsi="Calibri"/>
                <w:b/>
                <w:i w:val="0"/>
                <w:color w:val="FFFFFF"/>
                <w:sz w:val="17"/>
              </w:rPr>
              <w:t>30.0</w:t>
            </w:r>
          </w:p>
        </w:tc>
        <w:tc>
          <w:tcPr>
            <w:shd w:val="clear" w:color="auto" w:fill="1A365D"/>
            <w:tcW w:w="567" w:type="dxa"/>
          </w:tcPr>
          <w:p>
            <w:pPr>
              <w:jc w:val="right"/>
            </w:pPr>
            <w:r>
              <w:rPr>
                <w:rFonts w:ascii="Calibri" w:hAnsi="Calibri"/>
                <w:b/>
                <w:i w:val="0"/>
                <w:color w:val="FFFFFF"/>
                <w:sz w:val="17"/>
              </w:rPr>
              <w:t>8</w:t>
            </w:r>
          </w:p>
        </w:tc>
        <w:tc>
          <w:tcPr>
            <w:shd w:val="clear" w:color="auto" w:fill="1A365D"/>
            <w:tcW w:w="1984" w:type="dxa"/>
          </w:tcPr>
          <w:p>
            <w:pPr>
              <w:jc w:val="right"/>
            </w:pPr>
            <w:r>
              <w:rPr>
                <w:rFonts w:ascii="Calibri" w:hAnsi="Calibri"/>
                <w:b/>
                <w:i w:val="0"/>
                <w:color w:val="FFFFFF"/>
                <w:sz w:val="17"/>
              </w:rPr>
              <w:t>€3,444,300</w:t>
            </w:r>
          </w:p>
        </w:tc>
      </w:tr>
      <w:tr>
        <w:tc>
          <w:tcPr>
            <w:tcW w:w="2948" w:type="dxa"/>
          </w:tcPr>
          <w:p>
            <w:pPr>
              <w:jc w:val="left"/>
            </w:pPr>
            <w:r>
              <w:rPr>
                <w:rFonts w:ascii="Calibri" w:hAnsi="Calibri"/>
                <w:b w:val="0"/>
                <w:i w:val="0"/>
                <w:color w:val="000000"/>
                <w:sz w:val="17"/>
              </w:rPr>
              <w:t>Esperia Energy (Famagusta)</w:t>
            </w:r>
          </w:p>
        </w:tc>
        <w:tc>
          <w:tcPr>
            <w:tcW w:w="963" w:type="dxa"/>
          </w:tcPr>
          <w:p>
            <w:pPr>
              <w:jc w:val="center"/>
            </w:pPr>
            <w:r>
              <w:rPr>
                <w:rFonts w:ascii="Calibri" w:hAnsi="Calibri"/>
                <w:b w:val="0"/>
                <w:i w:val="0"/>
                <w:color w:val="000000"/>
                <w:sz w:val="17"/>
              </w:rPr>
              <w:t>Famagusta</w:t>
            </w:r>
          </w:p>
        </w:tc>
        <w:tc>
          <w:tcPr>
            <w:tcW w:w="737" w:type="dxa"/>
          </w:tcPr>
          <w:p>
            <w:pPr>
              <w:jc w:val="right"/>
            </w:pPr>
            <w:r>
              <w:rPr>
                <w:rFonts w:ascii="Calibri" w:hAnsi="Calibri"/>
                <w:b w:val="0"/>
                <w:i w:val="0"/>
                <w:color w:val="000000"/>
                <w:sz w:val="17"/>
              </w:rPr>
              <w:t>6.50</w:t>
            </w:r>
          </w:p>
        </w:tc>
        <w:tc>
          <w:tcPr>
            <w:tcW w:w="737" w:type="dxa"/>
          </w:tcPr>
          <w:p>
            <w:pPr>
              <w:jc w:val="right"/>
            </w:pPr>
            <w:r>
              <w:rPr>
                <w:rFonts w:ascii="Calibri" w:hAnsi="Calibri"/>
                <w:b w:val="0"/>
                <w:i w:val="0"/>
                <w:color w:val="000000"/>
                <w:sz w:val="17"/>
              </w:rPr>
              <w:t>20.0</w:t>
            </w:r>
          </w:p>
        </w:tc>
        <w:tc>
          <w:tcPr>
            <w:tcW w:w="567" w:type="dxa"/>
          </w:tcPr>
          <w:p>
            <w:pPr>
              <w:jc w:val="right"/>
            </w:pPr>
            <w:r>
              <w:rPr>
                <w:rFonts w:ascii="Calibri" w:hAnsi="Calibri"/>
                <w:b w:val="0"/>
                <w:i w:val="0"/>
                <w:color w:val="000000"/>
                <w:sz w:val="17"/>
              </w:rPr>
              <w:t>4</w:t>
            </w:r>
          </w:p>
        </w:tc>
        <w:tc>
          <w:tcPr>
            <w:tcW w:w="1984" w:type="dxa"/>
          </w:tcPr>
          <w:p>
            <w:pPr>
              <w:jc w:val="right"/>
            </w:pPr>
            <w:r>
              <w:rPr>
                <w:rFonts w:ascii="Calibri" w:hAnsi="Calibri"/>
                <w:b w:val="0"/>
                <w:i w:val="0"/>
                <w:color w:val="000000"/>
                <w:sz w:val="17"/>
              </w:rPr>
              <w:t>€2,316,815</w:t>
            </w:r>
          </w:p>
        </w:tc>
      </w:tr>
      <w:tr>
        <w:tc>
          <w:tcPr>
            <w:tcW w:w="2948" w:type="dxa"/>
          </w:tcPr>
          <w:p>
            <w:pPr>
              <w:jc w:val="left"/>
            </w:pPr>
            <w:r>
              <w:rPr>
                <w:rFonts w:ascii="Calibri" w:hAnsi="Calibri"/>
                <w:b w:val="0"/>
                <w:i w:val="0"/>
                <w:color w:val="000000"/>
                <w:sz w:val="17"/>
              </w:rPr>
              <w:t>Esperia Green Energy (Limassol)</w:t>
            </w:r>
          </w:p>
        </w:tc>
        <w:tc>
          <w:tcPr>
            <w:tcW w:w="963" w:type="dxa"/>
          </w:tcPr>
          <w:p>
            <w:pPr>
              <w:jc w:val="center"/>
            </w:pPr>
            <w:r>
              <w:rPr>
                <w:rFonts w:ascii="Calibri" w:hAnsi="Calibri"/>
                <w:b w:val="0"/>
                <w:i w:val="0"/>
                <w:color w:val="000000"/>
                <w:sz w:val="17"/>
              </w:rPr>
              <w:t>Limassol</w:t>
            </w:r>
          </w:p>
        </w:tc>
        <w:tc>
          <w:tcPr>
            <w:tcW w:w="737" w:type="dxa"/>
          </w:tcPr>
          <w:p>
            <w:pPr>
              <w:jc w:val="right"/>
            </w:pPr>
            <w:r>
              <w:rPr>
                <w:rFonts w:ascii="Calibri" w:hAnsi="Calibri"/>
                <w:b w:val="0"/>
                <w:i w:val="0"/>
                <w:color w:val="000000"/>
                <w:sz w:val="17"/>
              </w:rPr>
              <w:t>8.00</w:t>
            </w:r>
          </w:p>
        </w:tc>
        <w:tc>
          <w:tcPr>
            <w:tcW w:w="737" w:type="dxa"/>
          </w:tcPr>
          <w:p>
            <w:pPr>
              <w:jc w:val="right"/>
            </w:pPr>
            <w:r>
              <w:rPr>
                <w:rFonts w:ascii="Calibri" w:hAnsi="Calibri"/>
                <w:b w:val="0"/>
                <w:i w:val="0"/>
                <w:color w:val="000000"/>
                <w:sz w:val="17"/>
              </w:rPr>
              <w:t>60.0</w:t>
            </w:r>
          </w:p>
        </w:tc>
        <w:tc>
          <w:tcPr>
            <w:tcW w:w="567" w:type="dxa"/>
          </w:tcPr>
          <w:p>
            <w:pPr>
              <w:jc w:val="right"/>
            </w:pPr>
            <w:r>
              <w:rPr>
                <w:rFonts w:ascii="Calibri" w:hAnsi="Calibri"/>
                <w:b w:val="0"/>
                <w:i w:val="0"/>
                <w:color w:val="000000"/>
                <w:sz w:val="17"/>
              </w:rPr>
              <w:t>12</w:t>
            </w:r>
          </w:p>
        </w:tc>
        <w:tc>
          <w:tcPr>
            <w:tcW w:w="1984" w:type="dxa"/>
          </w:tcPr>
          <w:p>
            <w:pPr>
              <w:jc w:val="right"/>
            </w:pPr>
            <w:r>
              <w:rPr>
                <w:rFonts w:ascii="Calibri" w:hAnsi="Calibri"/>
                <w:b w:val="0"/>
                <w:i w:val="0"/>
                <w:color w:val="000000"/>
                <w:sz w:val="17"/>
              </w:rPr>
              <w:t>€5,644,044</w:t>
            </w:r>
          </w:p>
        </w:tc>
      </w:tr>
      <w:tr>
        <w:tc>
          <w:tcPr>
            <w:tcW w:w="2948" w:type="dxa"/>
          </w:tcPr>
          <w:p>
            <w:pPr>
              <w:jc w:val="left"/>
            </w:pPr>
            <w:r>
              <w:rPr>
                <w:rFonts w:ascii="Calibri" w:hAnsi="Calibri"/>
                <w:b w:val="0"/>
                <w:i w:val="0"/>
                <w:color w:val="000000"/>
                <w:sz w:val="17"/>
              </w:rPr>
              <w:t>Esperia Energy (Frenaros)</w:t>
            </w:r>
          </w:p>
        </w:tc>
        <w:tc>
          <w:tcPr>
            <w:tcW w:w="963" w:type="dxa"/>
          </w:tcPr>
          <w:p>
            <w:pPr>
              <w:jc w:val="center"/>
            </w:pPr>
            <w:r>
              <w:rPr>
                <w:rFonts w:ascii="Calibri" w:hAnsi="Calibri"/>
                <w:b w:val="0"/>
                <w:i w:val="0"/>
                <w:color w:val="000000"/>
                <w:sz w:val="17"/>
              </w:rPr>
              <w:t>Famagusta</w:t>
            </w:r>
          </w:p>
        </w:tc>
        <w:tc>
          <w:tcPr>
            <w:tcW w:w="737" w:type="dxa"/>
          </w:tcPr>
          <w:p>
            <w:pPr>
              <w:jc w:val="right"/>
            </w:pPr>
            <w:r>
              <w:rPr>
                <w:rFonts w:ascii="Calibri" w:hAnsi="Calibri"/>
                <w:b w:val="0"/>
                <w:i w:val="0"/>
                <w:color w:val="000000"/>
                <w:sz w:val="17"/>
              </w:rPr>
              <w:t>25.00</w:t>
            </w:r>
          </w:p>
        </w:tc>
        <w:tc>
          <w:tcPr>
            <w:tcW w:w="737" w:type="dxa"/>
          </w:tcPr>
          <w:p>
            <w:pPr>
              <w:jc w:val="right"/>
            </w:pPr>
            <w:r>
              <w:rPr>
                <w:rFonts w:ascii="Calibri" w:hAnsi="Calibri"/>
                <w:b w:val="0"/>
                <w:i w:val="0"/>
                <w:color w:val="000000"/>
                <w:sz w:val="17"/>
              </w:rPr>
              <w:t>100.0</w:t>
            </w:r>
          </w:p>
        </w:tc>
        <w:tc>
          <w:tcPr>
            <w:tcW w:w="567" w:type="dxa"/>
          </w:tcPr>
          <w:p>
            <w:pPr>
              <w:jc w:val="right"/>
            </w:pPr>
            <w:r>
              <w:rPr>
                <w:rFonts w:ascii="Calibri" w:hAnsi="Calibri"/>
                <w:b w:val="0"/>
                <w:i w:val="0"/>
                <w:color w:val="000000"/>
                <w:sz w:val="17"/>
              </w:rPr>
              <w:t>20</w:t>
            </w:r>
          </w:p>
        </w:tc>
        <w:tc>
          <w:tcPr>
            <w:tcW w:w="1984" w:type="dxa"/>
          </w:tcPr>
          <w:p>
            <w:pPr>
              <w:jc w:val="right"/>
            </w:pPr>
            <w:r>
              <w:rPr>
                <w:rFonts w:ascii="Calibri" w:hAnsi="Calibri"/>
                <w:b w:val="0"/>
                <w:i w:val="0"/>
                <w:color w:val="000000"/>
                <w:sz w:val="17"/>
              </w:rPr>
              <w:t>€10,088,014</w:t>
            </w:r>
          </w:p>
        </w:tc>
      </w:tr>
      <w:tr>
        <w:tc>
          <w:tcPr>
            <w:shd w:val="clear" w:color="auto" w:fill="1A365D"/>
            <w:tcW w:w="2948" w:type="dxa"/>
          </w:tcPr>
          <w:p>
            <w:pPr>
              <w:jc w:val="left"/>
            </w:pPr>
            <w:r>
              <w:rPr>
                <w:rFonts w:ascii="Calibri" w:hAnsi="Calibri"/>
                <w:b/>
                <w:i w:val="0"/>
                <w:color w:val="FFFFFF"/>
                <w:sz w:val="17"/>
              </w:rPr>
              <w:t>Phase 1 — 2026 Delivery (Esperia pipeline) — Subtotal</w:t>
            </w:r>
          </w:p>
        </w:tc>
        <w:tc>
          <w:tcPr>
            <w:shd w:val="clear" w:color="auto" w:fill="1A365D"/>
            <w:tcW w:w="963" w:type="dxa"/>
          </w:tcPr>
          <w:p>
            <w:pPr>
              <w:jc w:val="center"/>
            </w:pPr>
            <w:r>
              <w:rPr>
                <w:rFonts w:ascii="Calibri" w:hAnsi="Calibri"/>
                <w:b/>
                <w:i w:val="0"/>
                <w:color w:val="FFFFFF"/>
                <w:sz w:val="17"/>
              </w:rPr>
            </w:r>
          </w:p>
        </w:tc>
        <w:tc>
          <w:tcPr>
            <w:shd w:val="clear" w:color="auto" w:fill="1A365D"/>
            <w:tcW w:w="737" w:type="dxa"/>
          </w:tcPr>
          <w:p>
            <w:pPr>
              <w:jc w:val="right"/>
            </w:pPr>
            <w:r>
              <w:rPr>
                <w:rFonts w:ascii="Calibri" w:hAnsi="Calibri"/>
                <w:b/>
                <w:i w:val="0"/>
                <w:color w:val="FFFFFF"/>
                <w:sz w:val="17"/>
              </w:rPr>
              <w:t>39.50</w:t>
            </w:r>
          </w:p>
        </w:tc>
        <w:tc>
          <w:tcPr>
            <w:shd w:val="clear" w:color="auto" w:fill="1A365D"/>
            <w:tcW w:w="737" w:type="dxa"/>
          </w:tcPr>
          <w:p>
            <w:pPr>
              <w:jc w:val="right"/>
            </w:pPr>
            <w:r>
              <w:rPr>
                <w:rFonts w:ascii="Calibri" w:hAnsi="Calibri"/>
                <w:b/>
                <w:i w:val="0"/>
                <w:color w:val="FFFFFF"/>
                <w:sz w:val="17"/>
              </w:rPr>
              <w:t>180.0</w:t>
            </w:r>
          </w:p>
        </w:tc>
        <w:tc>
          <w:tcPr>
            <w:shd w:val="clear" w:color="auto" w:fill="1A365D"/>
            <w:tcW w:w="567" w:type="dxa"/>
          </w:tcPr>
          <w:p>
            <w:pPr>
              <w:jc w:val="right"/>
            </w:pPr>
            <w:r>
              <w:rPr>
                <w:rFonts w:ascii="Calibri" w:hAnsi="Calibri"/>
                <w:b/>
                <w:i w:val="0"/>
                <w:color w:val="FFFFFF"/>
                <w:sz w:val="17"/>
              </w:rPr>
              <w:t>36</w:t>
            </w:r>
          </w:p>
        </w:tc>
        <w:tc>
          <w:tcPr>
            <w:shd w:val="clear" w:color="auto" w:fill="1A365D"/>
            <w:tcW w:w="1984" w:type="dxa"/>
          </w:tcPr>
          <w:p>
            <w:pPr>
              <w:jc w:val="right"/>
            </w:pPr>
            <w:r>
              <w:rPr>
                <w:rFonts w:ascii="Calibri" w:hAnsi="Calibri"/>
                <w:b/>
                <w:i w:val="0"/>
                <w:color w:val="FFFFFF"/>
                <w:sz w:val="17"/>
              </w:rPr>
              <w:t>€18,048,873</w:t>
            </w:r>
          </w:p>
        </w:tc>
      </w:tr>
      <w:tr>
        <w:tc>
          <w:tcPr>
            <w:tcW w:w="2948" w:type="dxa"/>
          </w:tcPr>
          <w:p>
            <w:pPr>
              <w:jc w:val="left"/>
            </w:pPr>
            <w:r>
              <w:rPr>
                <w:rFonts w:ascii="Calibri" w:hAnsi="Calibri"/>
                <w:b w:val="0"/>
                <w:i w:val="0"/>
                <w:color w:val="000000"/>
                <w:sz w:val="17"/>
              </w:rPr>
              <w:t>Esperia Green Energy (Famagusta 2)</w:t>
            </w:r>
          </w:p>
        </w:tc>
        <w:tc>
          <w:tcPr>
            <w:tcW w:w="963" w:type="dxa"/>
          </w:tcPr>
          <w:p>
            <w:pPr>
              <w:jc w:val="center"/>
            </w:pPr>
            <w:r>
              <w:rPr>
                <w:rFonts w:ascii="Calibri" w:hAnsi="Calibri"/>
                <w:b w:val="0"/>
                <w:i w:val="0"/>
                <w:color w:val="000000"/>
                <w:sz w:val="17"/>
              </w:rPr>
              <w:t>Famagusta</w:t>
            </w:r>
          </w:p>
        </w:tc>
        <w:tc>
          <w:tcPr>
            <w:tcW w:w="737" w:type="dxa"/>
          </w:tcPr>
          <w:p>
            <w:pPr>
              <w:jc w:val="right"/>
            </w:pPr>
            <w:r>
              <w:rPr>
                <w:rFonts w:ascii="Calibri" w:hAnsi="Calibri"/>
                <w:b w:val="0"/>
                <w:i w:val="0"/>
                <w:color w:val="000000"/>
                <w:sz w:val="17"/>
              </w:rPr>
              <w:t>5.00</w:t>
            </w:r>
          </w:p>
        </w:tc>
        <w:tc>
          <w:tcPr>
            <w:tcW w:w="737" w:type="dxa"/>
          </w:tcPr>
          <w:p>
            <w:pPr>
              <w:jc w:val="right"/>
            </w:pPr>
            <w:r>
              <w:rPr>
                <w:rFonts w:ascii="Calibri" w:hAnsi="Calibri"/>
                <w:b w:val="0"/>
                <w:i w:val="0"/>
                <w:color w:val="000000"/>
                <w:sz w:val="17"/>
              </w:rPr>
              <w:t>20.0</w:t>
            </w:r>
          </w:p>
        </w:tc>
        <w:tc>
          <w:tcPr>
            <w:tcW w:w="567" w:type="dxa"/>
          </w:tcPr>
          <w:p>
            <w:pPr>
              <w:jc w:val="right"/>
            </w:pPr>
            <w:r>
              <w:rPr>
                <w:rFonts w:ascii="Calibri" w:hAnsi="Calibri"/>
                <w:b w:val="0"/>
                <w:i w:val="0"/>
                <w:color w:val="000000"/>
                <w:sz w:val="17"/>
              </w:rPr>
              <w:t>4</w:t>
            </w:r>
          </w:p>
        </w:tc>
        <w:tc>
          <w:tcPr>
            <w:tcW w:w="1984" w:type="dxa"/>
          </w:tcPr>
          <w:p>
            <w:pPr>
              <w:jc w:val="right"/>
            </w:pPr>
            <w:r>
              <w:rPr>
                <w:rFonts w:ascii="Calibri" w:hAnsi="Calibri"/>
                <w:b w:val="0"/>
                <w:i w:val="0"/>
                <w:color w:val="000000"/>
                <w:sz w:val="17"/>
              </w:rPr>
              <w:t>€2,189,416</w:t>
            </w:r>
          </w:p>
        </w:tc>
      </w:tr>
      <w:tr>
        <w:tc>
          <w:tcPr>
            <w:tcW w:w="2948" w:type="dxa"/>
          </w:tcPr>
          <w:p>
            <w:pPr>
              <w:jc w:val="left"/>
            </w:pPr>
            <w:r>
              <w:rPr>
                <w:rFonts w:ascii="Calibri" w:hAnsi="Calibri"/>
                <w:b w:val="0"/>
                <w:i w:val="0"/>
                <w:color w:val="000000"/>
                <w:sz w:val="17"/>
              </w:rPr>
              <w:t>Esperia Energy (Tseri)</w:t>
            </w:r>
          </w:p>
        </w:tc>
        <w:tc>
          <w:tcPr>
            <w:tcW w:w="963" w:type="dxa"/>
          </w:tcPr>
          <w:p>
            <w:pPr>
              <w:jc w:val="center"/>
            </w:pPr>
            <w:r>
              <w:rPr>
                <w:rFonts w:ascii="Calibri" w:hAnsi="Calibri"/>
                <w:b w:val="0"/>
                <w:i w:val="0"/>
                <w:color w:val="000000"/>
                <w:sz w:val="17"/>
              </w:rPr>
              <w:t>Nicosia</w:t>
            </w:r>
          </w:p>
        </w:tc>
        <w:tc>
          <w:tcPr>
            <w:tcW w:w="737" w:type="dxa"/>
          </w:tcPr>
          <w:p>
            <w:pPr>
              <w:jc w:val="right"/>
            </w:pPr>
            <w:r>
              <w:rPr>
                <w:rFonts w:ascii="Calibri" w:hAnsi="Calibri"/>
                <w:b w:val="0"/>
                <w:i w:val="0"/>
                <w:color w:val="000000"/>
                <w:sz w:val="17"/>
              </w:rPr>
              <w:t>7.20</w:t>
            </w:r>
          </w:p>
        </w:tc>
        <w:tc>
          <w:tcPr>
            <w:tcW w:w="737" w:type="dxa"/>
          </w:tcPr>
          <w:p>
            <w:pPr>
              <w:jc w:val="right"/>
            </w:pPr>
            <w:r>
              <w:rPr>
                <w:rFonts w:ascii="Calibri" w:hAnsi="Calibri"/>
                <w:b w:val="0"/>
                <w:i w:val="0"/>
                <w:color w:val="000000"/>
                <w:sz w:val="17"/>
              </w:rPr>
              <w:t>20.0</w:t>
            </w:r>
          </w:p>
        </w:tc>
        <w:tc>
          <w:tcPr>
            <w:tcW w:w="567" w:type="dxa"/>
          </w:tcPr>
          <w:p>
            <w:pPr>
              <w:jc w:val="right"/>
            </w:pPr>
            <w:r>
              <w:rPr>
                <w:rFonts w:ascii="Calibri" w:hAnsi="Calibri"/>
                <w:b w:val="0"/>
                <w:i w:val="0"/>
                <w:color w:val="000000"/>
                <w:sz w:val="17"/>
              </w:rPr>
              <w:t>4</w:t>
            </w:r>
          </w:p>
        </w:tc>
        <w:tc>
          <w:tcPr>
            <w:tcW w:w="1984" w:type="dxa"/>
          </w:tcPr>
          <w:p>
            <w:pPr>
              <w:jc w:val="right"/>
            </w:pPr>
            <w:r>
              <w:rPr>
                <w:rFonts w:ascii="Calibri" w:hAnsi="Calibri"/>
                <w:b w:val="0"/>
                <w:i w:val="0"/>
                <w:color w:val="000000"/>
                <w:sz w:val="17"/>
              </w:rPr>
              <w:t>€2,382,035</w:t>
            </w:r>
          </w:p>
        </w:tc>
      </w:tr>
      <w:tr>
        <w:tc>
          <w:tcPr>
            <w:tcW w:w="2948" w:type="dxa"/>
          </w:tcPr>
          <w:p>
            <w:pPr>
              <w:jc w:val="left"/>
            </w:pPr>
            <w:r>
              <w:rPr>
                <w:rFonts w:ascii="Calibri" w:hAnsi="Calibri"/>
                <w:b w:val="0"/>
                <w:i w:val="0"/>
                <w:color w:val="000000"/>
                <w:sz w:val="17"/>
              </w:rPr>
              <w:t>Esperia Energy (Tseri 2-A)</w:t>
            </w:r>
          </w:p>
        </w:tc>
        <w:tc>
          <w:tcPr>
            <w:tcW w:w="963" w:type="dxa"/>
          </w:tcPr>
          <w:p>
            <w:pPr>
              <w:jc w:val="center"/>
            </w:pPr>
            <w:r>
              <w:rPr>
                <w:rFonts w:ascii="Calibri" w:hAnsi="Calibri"/>
                <w:b w:val="0"/>
                <w:i w:val="0"/>
                <w:color w:val="000000"/>
                <w:sz w:val="17"/>
              </w:rPr>
              <w:t>Nicosia</w:t>
            </w:r>
          </w:p>
        </w:tc>
        <w:tc>
          <w:tcPr>
            <w:tcW w:w="737" w:type="dxa"/>
          </w:tcPr>
          <w:p>
            <w:pPr>
              <w:jc w:val="right"/>
            </w:pPr>
            <w:r>
              <w:rPr>
                <w:rFonts w:ascii="Calibri" w:hAnsi="Calibri"/>
                <w:b w:val="0"/>
                <w:i w:val="0"/>
                <w:color w:val="000000"/>
                <w:sz w:val="17"/>
              </w:rPr>
              <w:t>2.75</w:t>
            </w:r>
          </w:p>
        </w:tc>
        <w:tc>
          <w:tcPr>
            <w:tcW w:w="737" w:type="dxa"/>
          </w:tcPr>
          <w:p>
            <w:pPr>
              <w:jc w:val="right"/>
            </w:pPr>
            <w:r>
              <w:rPr>
                <w:rFonts w:ascii="Calibri" w:hAnsi="Calibri"/>
                <w:b w:val="0"/>
                <w:i w:val="0"/>
                <w:color w:val="000000"/>
                <w:sz w:val="17"/>
              </w:rPr>
              <w:t>10.0</w:t>
            </w:r>
          </w:p>
        </w:tc>
        <w:tc>
          <w:tcPr>
            <w:tcW w:w="567" w:type="dxa"/>
          </w:tcPr>
          <w:p>
            <w:pPr>
              <w:jc w:val="right"/>
            </w:pPr>
            <w:r>
              <w:rPr>
                <w:rFonts w:ascii="Calibri" w:hAnsi="Calibri"/>
                <w:b w:val="0"/>
                <w:i w:val="0"/>
                <w:color w:val="000000"/>
                <w:sz w:val="17"/>
              </w:rPr>
              <w:t>3</w:t>
            </w:r>
          </w:p>
        </w:tc>
        <w:tc>
          <w:tcPr>
            <w:tcW w:w="1984" w:type="dxa"/>
          </w:tcPr>
          <w:p>
            <w:pPr>
              <w:jc w:val="right"/>
            </w:pPr>
            <w:r>
              <w:rPr>
                <w:rFonts w:ascii="Calibri" w:hAnsi="Calibri"/>
                <w:b w:val="0"/>
                <w:i w:val="0"/>
                <w:color w:val="000000"/>
                <w:sz w:val="17"/>
              </w:rPr>
              <w:t>€1,084,620</w:t>
            </w:r>
          </w:p>
        </w:tc>
      </w:tr>
      <w:tr>
        <w:tc>
          <w:tcPr>
            <w:tcW w:w="2948" w:type="dxa"/>
          </w:tcPr>
          <w:p>
            <w:pPr>
              <w:jc w:val="left"/>
            </w:pPr>
            <w:r>
              <w:rPr>
                <w:rFonts w:ascii="Calibri" w:hAnsi="Calibri"/>
                <w:b w:val="0"/>
                <w:i w:val="0"/>
                <w:color w:val="000000"/>
                <w:sz w:val="17"/>
              </w:rPr>
              <w:t>Esperia Energy (Tseri 2-B)</w:t>
            </w:r>
          </w:p>
        </w:tc>
        <w:tc>
          <w:tcPr>
            <w:tcW w:w="963" w:type="dxa"/>
          </w:tcPr>
          <w:p>
            <w:pPr>
              <w:jc w:val="center"/>
            </w:pPr>
            <w:r>
              <w:rPr>
                <w:rFonts w:ascii="Calibri" w:hAnsi="Calibri"/>
                <w:b w:val="0"/>
                <w:i w:val="0"/>
                <w:color w:val="000000"/>
                <w:sz w:val="17"/>
              </w:rPr>
              <w:t>Nicosia</w:t>
            </w:r>
          </w:p>
        </w:tc>
        <w:tc>
          <w:tcPr>
            <w:tcW w:w="737" w:type="dxa"/>
          </w:tcPr>
          <w:p>
            <w:pPr>
              <w:jc w:val="right"/>
            </w:pPr>
            <w:r>
              <w:rPr>
                <w:rFonts w:ascii="Calibri" w:hAnsi="Calibri"/>
                <w:b w:val="0"/>
                <w:i w:val="0"/>
                <w:color w:val="000000"/>
                <w:sz w:val="17"/>
              </w:rPr>
              <w:t>7.99</w:t>
            </w:r>
          </w:p>
        </w:tc>
        <w:tc>
          <w:tcPr>
            <w:tcW w:w="737" w:type="dxa"/>
          </w:tcPr>
          <w:p>
            <w:pPr>
              <w:jc w:val="right"/>
            </w:pPr>
            <w:r>
              <w:rPr>
                <w:rFonts w:ascii="Calibri" w:hAnsi="Calibri"/>
                <w:b w:val="0"/>
                <w:i w:val="0"/>
                <w:color w:val="000000"/>
                <w:sz w:val="17"/>
              </w:rPr>
              <w:t>30.0</w:t>
            </w:r>
          </w:p>
        </w:tc>
        <w:tc>
          <w:tcPr>
            <w:tcW w:w="567" w:type="dxa"/>
          </w:tcPr>
          <w:p>
            <w:pPr>
              <w:jc w:val="right"/>
            </w:pPr>
            <w:r>
              <w:rPr>
                <w:rFonts w:ascii="Calibri" w:hAnsi="Calibri"/>
                <w:b w:val="0"/>
                <w:i w:val="0"/>
                <w:color w:val="000000"/>
                <w:sz w:val="17"/>
              </w:rPr>
              <w:t>6</w:t>
            </w:r>
          </w:p>
        </w:tc>
        <w:tc>
          <w:tcPr>
            <w:tcW w:w="1984" w:type="dxa"/>
          </w:tcPr>
          <w:p>
            <w:pPr>
              <w:jc w:val="right"/>
            </w:pPr>
            <w:r>
              <w:rPr>
                <w:rFonts w:ascii="Calibri" w:hAnsi="Calibri"/>
                <w:b w:val="0"/>
                <w:i w:val="0"/>
                <w:color w:val="000000"/>
                <w:sz w:val="17"/>
              </w:rPr>
              <w:t>€2,912,993</w:t>
            </w:r>
          </w:p>
        </w:tc>
      </w:tr>
      <w:tr>
        <w:tc>
          <w:tcPr>
            <w:tcW w:w="2948" w:type="dxa"/>
          </w:tcPr>
          <w:p>
            <w:pPr>
              <w:jc w:val="left"/>
            </w:pPr>
            <w:r>
              <w:rPr>
                <w:rFonts w:ascii="Calibri" w:hAnsi="Calibri"/>
                <w:b w:val="0"/>
                <w:i w:val="0"/>
                <w:color w:val="000000"/>
                <w:sz w:val="17"/>
              </w:rPr>
              <w:t>Esperia Energy (Tseri 2-C)</w:t>
            </w:r>
          </w:p>
        </w:tc>
        <w:tc>
          <w:tcPr>
            <w:tcW w:w="963" w:type="dxa"/>
          </w:tcPr>
          <w:p>
            <w:pPr>
              <w:jc w:val="center"/>
            </w:pPr>
            <w:r>
              <w:rPr>
                <w:rFonts w:ascii="Calibri" w:hAnsi="Calibri"/>
                <w:b w:val="0"/>
                <w:i w:val="0"/>
                <w:color w:val="000000"/>
                <w:sz w:val="17"/>
              </w:rPr>
              <w:t>Nicosia</w:t>
            </w:r>
          </w:p>
        </w:tc>
        <w:tc>
          <w:tcPr>
            <w:tcW w:w="737" w:type="dxa"/>
          </w:tcPr>
          <w:p>
            <w:pPr>
              <w:jc w:val="right"/>
            </w:pPr>
            <w:r>
              <w:rPr>
                <w:rFonts w:ascii="Calibri" w:hAnsi="Calibri"/>
                <w:b w:val="0"/>
                <w:i w:val="0"/>
                <w:color w:val="000000"/>
                <w:sz w:val="17"/>
              </w:rPr>
              <w:t>6.30</w:t>
            </w:r>
          </w:p>
        </w:tc>
        <w:tc>
          <w:tcPr>
            <w:tcW w:w="737" w:type="dxa"/>
          </w:tcPr>
          <w:p>
            <w:pPr>
              <w:jc w:val="right"/>
            </w:pPr>
            <w:r>
              <w:rPr>
                <w:rFonts w:ascii="Calibri" w:hAnsi="Calibri"/>
                <w:b w:val="0"/>
                <w:i w:val="0"/>
                <w:color w:val="000000"/>
                <w:sz w:val="17"/>
              </w:rPr>
              <w:t>25.0</w:t>
            </w:r>
          </w:p>
        </w:tc>
        <w:tc>
          <w:tcPr>
            <w:tcW w:w="567" w:type="dxa"/>
          </w:tcPr>
          <w:p>
            <w:pPr>
              <w:jc w:val="right"/>
            </w:pPr>
            <w:r>
              <w:rPr>
                <w:rFonts w:ascii="Calibri" w:hAnsi="Calibri"/>
                <w:b w:val="0"/>
                <w:i w:val="0"/>
                <w:color w:val="000000"/>
                <w:sz w:val="17"/>
              </w:rPr>
              <w:t>5</w:t>
            </w:r>
          </w:p>
        </w:tc>
        <w:tc>
          <w:tcPr>
            <w:tcW w:w="1984" w:type="dxa"/>
          </w:tcPr>
          <w:p>
            <w:pPr>
              <w:jc w:val="right"/>
            </w:pPr>
            <w:r>
              <w:rPr>
                <w:rFonts w:ascii="Calibri" w:hAnsi="Calibri"/>
                <w:b w:val="0"/>
                <w:i w:val="0"/>
                <w:color w:val="000000"/>
                <w:sz w:val="17"/>
              </w:rPr>
              <w:t>€1,551,848</w:t>
            </w:r>
          </w:p>
        </w:tc>
      </w:tr>
      <w:tr>
        <w:tc>
          <w:tcPr>
            <w:tcW w:w="2948" w:type="dxa"/>
          </w:tcPr>
          <w:p>
            <w:pPr>
              <w:jc w:val="left"/>
            </w:pPr>
            <w:r>
              <w:rPr>
                <w:rFonts w:ascii="Calibri" w:hAnsi="Calibri"/>
                <w:b w:val="0"/>
                <w:i w:val="0"/>
                <w:color w:val="000000"/>
                <w:sz w:val="17"/>
              </w:rPr>
              <w:t>Esperia Energy (Tseri 3)</w:t>
            </w:r>
          </w:p>
        </w:tc>
        <w:tc>
          <w:tcPr>
            <w:tcW w:w="963" w:type="dxa"/>
          </w:tcPr>
          <w:p>
            <w:pPr>
              <w:jc w:val="center"/>
            </w:pPr>
            <w:r>
              <w:rPr>
                <w:rFonts w:ascii="Calibri" w:hAnsi="Calibri"/>
                <w:b w:val="0"/>
                <w:i w:val="0"/>
                <w:color w:val="000000"/>
                <w:sz w:val="17"/>
              </w:rPr>
              <w:t>Nicosia</w:t>
            </w:r>
          </w:p>
        </w:tc>
        <w:tc>
          <w:tcPr>
            <w:tcW w:w="737" w:type="dxa"/>
          </w:tcPr>
          <w:p>
            <w:pPr>
              <w:jc w:val="right"/>
            </w:pPr>
            <w:r>
              <w:rPr>
                <w:rFonts w:ascii="Calibri" w:hAnsi="Calibri"/>
                <w:b w:val="0"/>
                <w:i w:val="0"/>
                <w:color w:val="000000"/>
                <w:sz w:val="17"/>
              </w:rPr>
              <w:t>4.75</w:t>
            </w:r>
          </w:p>
        </w:tc>
        <w:tc>
          <w:tcPr>
            <w:tcW w:w="737" w:type="dxa"/>
          </w:tcPr>
          <w:p>
            <w:pPr>
              <w:jc w:val="right"/>
            </w:pPr>
            <w:r>
              <w:rPr>
                <w:rFonts w:ascii="Calibri" w:hAnsi="Calibri"/>
                <w:b w:val="0"/>
                <w:i w:val="0"/>
                <w:color w:val="000000"/>
                <w:sz w:val="17"/>
              </w:rPr>
              <w:t>20.0</w:t>
            </w:r>
          </w:p>
        </w:tc>
        <w:tc>
          <w:tcPr>
            <w:tcW w:w="567" w:type="dxa"/>
          </w:tcPr>
          <w:p>
            <w:pPr>
              <w:jc w:val="right"/>
            </w:pPr>
            <w:r>
              <w:rPr>
                <w:rFonts w:ascii="Calibri" w:hAnsi="Calibri"/>
                <w:b w:val="0"/>
                <w:i w:val="0"/>
                <w:color w:val="000000"/>
                <w:sz w:val="17"/>
              </w:rPr>
              <w:t>4</w:t>
            </w:r>
          </w:p>
        </w:tc>
        <w:tc>
          <w:tcPr>
            <w:tcW w:w="1984" w:type="dxa"/>
          </w:tcPr>
          <w:p>
            <w:pPr>
              <w:jc w:val="right"/>
            </w:pPr>
            <w:r>
              <w:rPr>
                <w:rFonts w:ascii="Calibri" w:hAnsi="Calibri"/>
                <w:b w:val="0"/>
                <w:i w:val="0"/>
                <w:color w:val="000000"/>
                <w:sz w:val="17"/>
              </w:rPr>
              <w:t>€1,874,143</w:t>
            </w:r>
          </w:p>
        </w:tc>
      </w:tr>
      <w:tr>
        <w:tc>
          <w:tcPr>
            <w:shd w:val="clear" w:color="auto" w:fill="1A365D"/>
            <w:tcW w:w="2948" w:type="dxa"/>
          </w:tcPr>
          <w:p>
            <w:pPr>
              <w:jc w:val="left"/>
            </w:pPr>
            <w:r>
              <w:rPr>
                <w:rFonts w:ascii="Calibri" w:hAnsi="Calibri"/>
                <w:b/>
                <w:i w:val="0"/>
                <w:color w:val="FFFFFF"/>
                <w:sz w:val="17"/>
              </w:rPr>
              <w:t>Phase 3 — 2028 Delivery (Famagusta 2 + Tseri Portfolio) — Subtotal</w:t>
            </w:r>
          </w:p>
        </w:tc>
        <w:tc>
          <w:tcPr>
            <w:shd w:val="clear" w:color="auto" w:fill="1A365D"/>
            <w:tcW w:w="963" w:type="dxa"/>
          </w:tcPr>
          <w:p>
            <w:pPr>
              <w:jc w:val="center"/>
            </w:pPr>
            <w:r>
              <w:rPr>
                <w:rFonts w:ascii="Calibri" w:hAnsi="Calibri"/>
                <w:b/>
                <w:i w:val="0"/>
                <w:color w:val="FFFFFF"/>
                <w:sz w:val="17"/>
              </w:rPr>
            </w:r>
          </w:p>
        </w:tc>
        <w:tc>
          <w:tcPr>
            <w:shd w:val="clear" w:color="auto" w:fill="1A365D"/>
            <w:tcW w:w="737" w:type="dxa"/>
          </w:tcPr>
          <w:p>
            <w:pPr>
              <w:jc w:val="right"/>
            </w:pPr>
            <w:r>
              <w:rPr>
                <w:rFonts w:ascii="Calibri" w:hAnsi="Calibri"/>
                <w:b/>
                <w:i w:val="0"/>
                <w:color w:val="FFFFFF"/>
                <w:sz w:val="17"/>
              </w:rPr>
              <w:t>33.99</w:t>
            </w:r>
          </w:p>
        </w:tc>
        <w:tc>
          <w:tcPr>
            <w:shd w:val="clear" w:color="auto" w:fill="1A365D"/>
            <w:tcW w:w="737" w:type="dxa"/>
          </w:tcPr>
          <w:p>
            <w:pPr>
              <w:jc w:val="right"/>
            </w:pPr>
            <w:r>
              <w:rPr>
                <w:rFonts w:ascii="Calibri" w:hAnsi="Calibri"/>
                <w:b/>
                <w:i w:val="0"/>
                <w:color w:val="FFFFFF"/>
                <w:sz w:val="17"/>
              </w:rPr>
              <w:t>125.0</w:t>
            </w:r>
          </w:p>
        </w:tc>
        <w:tc>
          <w:tcPr>
            <w:shd w:val="clear" w:color="auto" w:fill="1A365D"/>
            <w:tcW w:w="567" w:type="dxa"/>
          </w:tcPr>
          <w:p>
            <w:pPr>
              <w:jc w:val="right"/>
            </w:pPr>
            <w:r>
              <w:rPr>
                <w:rFonts w:ascii="Calibri" w:hAnsi="Calibri"/>
                <w:b/>
                <w:i w:val="0"/>
                <w:color w:val="FFFFFF"/>
                <w:sz w:val="17"/>
              </w:rPr>
              <w:t>26</w:t>
            </w:r>
          </w:p>
        </w:tc>
        <w:tc>
          <w:tcPr>
            <w:shd w:val="clear" w:color="auto" w:fill="1A365D"/>
            <w:tcW w:w="1984" w:type="dxa"/>
          </w:tcPr>
          <w:p>
            <w:pPr>
              <w:jc w:val="right"/>
            </w:pPr>
            <w:r>
              <w:rPr>
                <w:rFonts w:ascii="Calibri" w:hAnsi="Calibri"/>
                <w:b/>
                <w:i w:val="0"/>
                <w:color w:val="FFFFFF"/>
                <w:sz w:val="17"/>
              </w:rPr>
              <w:t>€11,995,055</w:t>
            </w:r>
          </w:p>
        </w:tc>
      </w:tr>
      <w:tr>
        <w:tc>
          <w:tcPr>
            <w:shd w:val="clear" w:color="auto" w:fill="1A365D"/>
            <w:tcW w:w="2948" w:type="dxa"/>
          </w:tcPr>
          <w:p>
            <w:pPr>
              <w:jc w:val="left"/>
            </w:pPr>
            <w:r>
              <w:rPr>
                <w:rFonts w:ascii="Calibri" w:hAnsi="Calibri"/>
                <w:b/>
                <w:i w:val="0"/>
                <w:color w:val="FFFFFF"/>
                <w:sz w:val="17"/>
              </w:rPr>
              <w:t>TOTAL SCHEDULE 1  (11 parks: 2 Galascope + 9 pipeline)</w:t>
            </w:r>
          </w:p>
        </w:tc>
        <w:tc>
          <w:tcPr>
            <w:shd w:val="clear" w:color="auto" w:fill="1A365D"/>
            <w:tcW w:w="963" w:type="dxa"/>
          </w:tcPr>
          <w:p>
            <w:pPr>
              <w:jc w:val="center"/>
            </w:pPr>
            <w:r>
              <w:rPr>
                <w:rFonts w:ascii="Calibri" w:hAnsi="Calibri"/>
                <w:b/>
                <w:i w:val="0"/>
                <w:color w:val="FFFFFF"/>
                <w:sz w:val="17"/>
              </w:rPr>
            </w:r>
          </w:p>
        </w:tc>
        <w:tc>
          <w:tcPr>
            <w:shd w:val="clear" w:color="auto" w:fill="1A365D"/>
            <w:tcW w:w="737" w:type="dxa"/>
          </w:tcPr>
          <w:p>
            <w:pPr>
              <w:jc w:val="right"/>
            </w:pPr>
            <w:r>
              <w:rPr>
                <w:rFonts w:ascii="Calibri" w:hAnsi="Calibri"/>
                <w:b/>
                <w:i w:val="0"/>
                <w:color w:val="FFFFFF"/>
                <w:sz w:val="17"/>
              </w:rPr>
              <w:t>80.99</w:t>
            </w:r>
          </w:p>
        </w:tc>
        <w:tc>
          <w:tcPr>
            <w:shd w:val="clear" w:color="auto" w:fill="1A365D"/>
            <w:tcW w:w="737" w:type="dxa"/>
          </w:tcPr>
          <w:p>
            <w:pPr>
              <w:jc w:val="right"/>
            </w:pPr>
            <w:r>
              <w:rPr>
                <w:rFonts w:ascii="Calibri" w:hAnsi="Calibri"/>
                <w:b/>
                <w:i w:val="0"/>
                <w:color w:val="FFFFFF"/>
                <w:sz w:val="17"/>
              </w:rPr>
              <w:t>335.0</w:t>
            </w:r>
          </w:p>
        </w:tc>
        <w:tc>
          <w:tcPr>
            <w:shd w:val="clear" w:color="auto" w:fill="1A365D"/>
            <w:tcW w:w="567" w:type="dxa"/>
          </w:tcPr>
          <w:p>
            <w:pPr>
              <w:jc w:val="right"/>
            </w:pPr>
            <w:r>
              <w:rPr>
                <w:rFonts w:ascii="Calibri" w:hAnsi="Calibri"/>
                <w:b/>
                <w:i w:val="0"/>
                <w:color w:val="FFFFFF"/>
                <w:sz w:val="17"/>
              </w:rPr>
              <w:t>70</w:t>
            </w:r>
          </w:p>
        </w:tc>
        <w:tc>
          <w:tcPr>
            <w:shd w:val="clear" w:color="auto" w:fill="1A365D"/>
            <w:tcW w:w="1984" w:type="dxa"/>
          </w:tcPr>
          <w:p>
            <w:pPr>
              <w:jc w:val="right"/>
            </w:pPr>
            <w:r>
              <w:rPr>
                <w:rFonts w:ascii="Calibri" w:hAnsi="Calibri"/>
                <w:b/>
                <w:i w:val="0"/>
                <w:color w:val="FFFFFF"/>
                <w:sz w:val="17"/>
              </w:rPr>
              <w:t>€33,488,228</w:t>
            </w:r>
          </w:p>
        </w:tc>
      </w:tr>
    </w:tbl>
    <w:p>
      <w:pPr>
        <w:spacing w:before="320" w:after="80"/>
      </w:pPr>
      <w:r>
        <w:rPr>
          <w:rFonts w:ascii="Calibri" w:hAnsi="Calibri"/>
          <w:b/>
          <w:i w:val="0"/>
          <w:color w:val="C9A432"/>
          <w:sz w:val="24"/>
        </w:rPr>
        <w:t>3.   INDICATIVE PROGRAMME</w:t>
      </w:r>
    </w:p>
    <w:p>
      <w:pPr>
        <w:spacing w:after="100"/>
        <w:jc w:val="both"/>
      </w:pPr>
      <w:r>
        <w:rPr>
          <w:rFonts w:ascii="Calibri" w:hAnsi="Calibri"/>
          <w:b w:val="0"/>
          <w:i w:val="0"/>
          <w:color w:val="000000"/>
          <w:sz w:val="20"/>
        </w:rPr>
        <w:t>Target dates are indicative; each EPC sets binding milestones. Pipeline phases generally require EAC/DSO grid connection and satisfactory PAC of the prior phase.</w:t>
      </w:r>
    </w:p>
    <w:tbl>
      <w:tblPr>
        <w:jc w:val="left"/>
        <w:tblLook w:firstColumn="1" w:firstRow="1" w:lastColumn="0" w:lastRow="0" w:noHBand="0" w:noVBand="1" w:val="04A0"/>
        <w:tblW w:w="7370" w:type="dxa"/>
        <w:tblLayout w:type="fixed"/>
      </w:tblPr>
      <w:tblGrid>
        <w:gridCol w:w="3118"/>
        <w:gridCol w:w="567"/>
        <w:gridCol w:w="680"/>
        <w:gridCol w:w="1134"/>
        <w:gridCol w:w="1871"/>
      </w:tblGrid>
      <w:tr>
        <w:tc>
          <w:tcPr>
            <w:shd w:val="clear" w:color="auto" w:fill="1A365D"/>
            <w:vAlign w:val="center"/>
            <w:tcW w:w="3118" w:type="dxa"/>
          </w:tcPr>
          <w:p>
            <w:pPr>
              <w:jc w:val="center"/>
            </w:pPr>
            <w:r>
              <w:rPr>
                <w:rFonts w:ascii="Calibri" w:hAnsi="Calibri"/>
                <w:b/>
                <w:i w:val="0"/>
                <w:color w:val="FFFFFF"/>
                <w:sz w:val="16"/>
              </w:rPr>
              <w:t>Batch / Phase</w:t>
            </w:r>
          </w:p>
        </w:tc>
        <w:tc>
          <w:tcPr>
            <w:shd w:val="clear" w:color="auto" w:fill="1A365D"/>
            <w:vAlign w:val="center"/>
            <w:tcW w:w="567" w:type="dxa"/>
          </w:tcPr>
          <w:p>
            <w:pPr>
              <w:jc w:val="center"/>
            </w:pPr>
            <w:r>
              <w:rPr>
                <w:rFonts w:ascii="Calibri" w:hAnsi="Calibri"/>
                <w:b/>
                <w:i w:val="0"/>
                <w:color w:val="FFFFFF"/>
                <w:sz w:val="16"/>
              </w:rPr>
              <w:t>Parks</w:t>
            </w:r>
          </w:p>
        </w:tc>
        <w:tc>
          <w:tcPr>
            <w:shd w:val="clear" w:color="auto" w:fill="1A365D"/>
            <w:vAlign w:val="center"/>
            <w:tcW w:w="680" w:type="dxa"/>
          </w:tcPr>
          <w:p>
            <w:pPr>
              <w:jc w:val="center"/>
            </w:pPr>
            <w:r>
              <w:rPr>
                <w:rFonts w:ascii="Calibri" w:hAnsi="Calibri"/>
                <w:b/>
                <w:i w:val="0"/>
                <w:color w:val="FFFFFF"/>
                <w:sz w:val="16"/>
              </w:rPr>
              <w:t>MWh</w:t>
            </w:r>
          </w:p>
        </w:tc>
        <w:tc>
          <w:tcPr>
            <w:shd w:val="clear" w:color="auto" w:fill="1A365D"/>
            <w:vAlign w:val="center"/>
            <w:tcW w:w="1134" w:type="dxa"/>
          </w:tcPr>
          <w:p>
            <w:pPr>
              <w:jc w:val="center"/>
            </w:pPr>
            <w:r>
              <w:rPr>
                <w:rFonts w:ascii="Calibri" w:hAnsi="Calibri"/>
                <w:b/>
                <w:i w:val="0"/>
                <w:color w:val="FFFFFF"/>
                <w:sz w:val="16"/>
              </w:rPr>
              <w:t>EPC target</w:t>
            </w:r>
          </w:p>
        </w:tc>
        <w:tc>
          <w:tcPr>
            <w:shd w:val="clear" w:color="auto" w:fill="1A365D"/>
            <w:vAlign w:val="center"/>
            <w:tcW w:w="1871" w:type="dxa"/>
          </w:tcPr>
          <w:p>
            <w:pPr>
              <w:jc w:val="center"/>
            </w:pPr>
            <w:r>
              <w:rPr>
                <w:rFonts w:ascii="Calibri" w:hAnsi="Calibri"/>
                <w:b/>
                <w:i w:val="0"/>
                <w:color w:val="FFFFFF"/>
                <w:sz w:val="16"/>
              </w:rPr>
              <w:t>Indicative value (ex VAT)</w:t>
            </w:r>
          </w:p>
        </w:tc>
      </w:tr>
      <w:tr>
        <w:tc>
          <w:tcPr>
            <w:tcW w:w="3118" w:type="dxa"/>
          </w:tcPr>
          <w:p>
            <w:pPr>
              <w:jc w:val="left"/>
            </w:pPr>
            <w:r>
              <w:rPr>
                <w:rFonts w:ascii="Calibri" w:hAnsi="Calibri"/>
                <w:b w:val="0"/>
                <w:i w:val="0"/>
                <w:color w:val="000000"/>
                <w:sz w:val="17"/>
              </w:rPr>
              <w:t>Galascope Ltd — LCY-EPC-GAL-B1-2026</w:t>
            </w:r>
          </w:p>
        </w:tc>
        <w:tc>
          <w:tcPr>
            <w:tcW w:w="567" w:type="dxa"/>
          </w:tcPr>
          <w:p>
            <w:pPr>
              <w:jc w:val="center"/>
            </w:pPr>
            <w:r>
              <w:rPr>
                <w:rFonts w:ascii="Calibri" w:hAnsi="Calibri"/>
                <w:b w:val="0"/>
                <w:i w:val="0"/>
                <w:color w:val="000000"/>
                <w:sz w:val="17"/>
              </w:rPr>
              <w:t>2</w:t>
            </w:r>
          </w:p>
        </w:tc>
        <w:tc>
          <w:tcPr>
            <w:tcW w:w="680" w:type="dxa"/>
          </w:tcPr>
          <w:p>
            <w:pPr>
              <w:jc w:val="right"/>
            </w:pPr>
            <w:r>
              <w:rPr>
                <w:rFonts w:ascii="Calibri" w:hAnsi="Calibri"/>
                <w:b w:val="0"/>
                <w:i w:val="0"/>
                <w:color w:val="000000"/>
                <w:sz w:val="17"/>
              </w:rPr>
              <w:t>30.0</w:t>
            </w:r>
          </w:p>
        </w:tc>
        <w:tc>
          <w:tcPr>
            <w:tcW w:w="1134" w:type="dxa"/>
          </w:tcPr>
          <w:p>
            <w:pPr>
              <w:jc w:val="right"/>
            </w:pPr>
            <w:r>
              <w:rPr>
                <w:rFonts w:ascii="Calibri" w:hAnsi="Calibri"/>
                <w:b w:val="0"/>
                <w:i w:val="0"/>
                <w:color w:val="000000"/>
                <w:sz w:val="17"/>
              </w:rPr>
              <w:t>Signed / Q2 2026</w:t>
            </w:r>
          </w:p>
        </w:tc>
        <w:tc>
          <w:tcPr>
            <w:tcW w:w="1871" w:type="dxa"/>
          </w:tcPr>
          <w:p>
            <w:pPr>
              <w:jc w:val="right"/>
            </w:pPr>
            <w:r>
              <w:rPr>
                <w:rFonts w:ascii="Calibri" w:hAnsi="Calibri"/>
                <w:b w:val="0"/>
                <w:i w:val="0"/>
                <w:color w:val="000000"/>
                <w:sz w:val="17"/>
              </w:rPr>
              <w:t>€3,444,300</w:t>
            </w:r>
          </w:p>
        </w:tc>
      </w:tr>
      <w:tr>
        <w:tc>
          <w:tcPr>
            <w:tcW w:w="3118" w:type="dxa"/>
          </w:tcPr>
          <w:p>
            <w:pPr>
              <w:jc w:val="left"/>
            </w:pPr>
            <w:r>
              <w:rPr>
                <w:rFonts w:ascii="Calibri" w:hAnsi="Calibri"/>
                <w:b w:val="0"/>
                <w:i w:val="0"/>
                <w:color w:val="000000"/>
                <w:sz w:val="17"/>
              </w:rPr>
              <w:t>Phase 1 — 2026</w:t>
            </w:r>
          </w:p>
        </w:tc>
        <w:tc>
          <w:tcPr>
            <w:tcW w:w="567" w:type="dxa"/>
          </w:tcPr>
          <w:p>
            <w:pPr>
              <w:jc w:val="center"/>
            </w:pPr>
            <w:r>
              <w:rPr>
                <w:rFonts w:ascii="Calibri" w:hAnsi="Calibri"/>
                <w:b w:val="0"/>
                <w:i w:val="0"/>
                <w:color w:val="000000"/>
                <w:sz w:val="17"/>
              </w:rPr>
              <w:t>3</w:t>
            </w:r>
          </w:p>
        </w:tc>
        <w:tc>
          <w:tcPr>
            <w:tcW w:w="680" w:type="dxa"/>
          </w:tcPr>
          <w:p>
            <w:pPr>
              <w:jc w:val="right"/>
            </w:pPr>
            <w:r>
              <w:rPr>
                <w:rFonts w:ascii="Calibri" w:hAnsi="Calibri"/>
                <w:b w:val="0"/>
                <w:i w:val="0"/>
                <w:color w:val="000000"/>
                <w:sz w:val="17"/>
              </w:rPr>
              <w:t>180.0</w:t>
            </w:r>
          </w:p>
        </w:tc>
        <w:tc>
          <w:tcPr>
            <w:tcW w:w="1134" w:type="dxa"/>
          </w:tcPr>
          <w:p>
            <w:pPr>
              <w:jc w:val="right"/>
            </w:pPr>
            <w:r>
              <w:rPr>
                <w:rFonts w:ascii="Calibri" w:hAnsi="Calibri"/>
                <w:b w:val="0"/>
                <w:i w:val="0"/>
                <w:color w:val="000000"/>
                <w:sz w:val="17"/>
              </w:rPr>
              <w:t>Q2 2026</w:t>
            </w:r>
          </w:p>
        </w:tc>
        <w:tc>
          <w:tcPr>
            <w:tcW w:w="1871" w:type="dxa"/>
          </w:tcPr>
          <w:p>
            <w:pPr>
              <w:jc w:val="right"/>
            </w:pPr>
            <w:r>
              <w:rPr>
                <w:rFonts w:ascii="Calibri" w:hAnsi="Calibri"/>
                <w:b w:val="0"/>
                <w:i w:val="0"/>
                <w:color w:val="000000"/>
                <w:sz w:val="17"/>
              </w:rPr>
              <w:t>€18,048,873</w:t>
            </w:r>
          </w:p>
        </w:tc>
      </w:tr>
      <w:tr>
        <w:tc>
          <w:tcPr>
            <w:tcW w:w="3118" w:type="dxa"/>
          </w:tcPr>
          <w:p>
            <w:pPr>
              <w:jc w:val="left"/>
            </w:pPr>
            <w:r>
              <w:rPr>
                <w:rFonts w:ascii="Calibri" w:hAnsi="Calibri"/>
                <w:b w:val="0"/>
                <w:i w:val="0"/>
                <w:color w:val="000000"/>
                <w:sz w:val="17"/>
              </w:rPr>
              <w:t>Phase 3 — 2028 (Famagusta 2 + Tseri)</w:t>
            </w:r>
          </w:p>
        </w:tc>
        <w:tc>
          <w:tcPr>
            <w:tcW w:w="567" w:type="dxa"/>
          </w:tcPr>
          <w:p>
            <w:pPr>
              <w:jc w:val="center"/>
            </w:pPr>
            <w:r>
              <w:rPr>
                <w:rFonts w:ascii="Calibri" w:hAnsi="Calibri"/>
                <w:b w:val="0"/>
                <w:i w:val="0"/>
                <w:color w:val="000000"/>
                <w:sz w:val="17"/>
              </w:rPr>
              <w:t>6</w:t>
            </w:r>
          </w:p>
        </w:tc>
        <w:tc>
          <w:tcPr>
            <w:tcW w:w="680" w:type="dxa"/>
          </w:tcPr>
          <w:p>
            <w:pPr>
              <w:jc w:val="right"/>
            </w:pPr>
            <w:r>
              <w:rPr>
                <w:rFonts w:ascii="Calibri" w:hAnsi="Calibri"/>
                <w:b w:val="0"/>
                <w:i w:val="0"/>
                <w:color w:val="000000"/>
                <w:sz w:val="17"/>
              </w:rPr>
              <w:t>125.0</w:t>
            </w:r>
          </w:p>
        </w:tc>
        <w:tc>
          <w:tcPr>
            <w:tcW w:w="1134" w:type="dxa"/>
          </w:tcPr>
          <w:p>
            <w:pPr>
              <w:jc w:val="right"/>
            </w:pPr>
            <w:r>
              <w:rPr>
                <w:rFonts w:ascii="Calibri" w:hAnsi="Calibri"/>
                <w:b w:val="0"/>
                <w:i w:val="0"/>
                <w:color w:val="000000"/>
                <w:sz w:val="17"/>
              </w:rPr>
              <w:t>2028</w:t>
            </w:r>
          </w:p>
        </w:tc>
        <w:tc>
          <w:tcPr>
            <w:tcW w:w="1871" w:type="dxa"/>
          </w:tcPr>
          <w:p>
            <w:pPr>
              <w:jc w:val="right"/>
            </w:pPr>
            <w:r>
              <w:rPr>
                <w:rFonts w:ascii="Calibri" w:hAnsi="Calibri"/>
                <w:b w:val="0"/>
                <w:i w:val="0"/>
                <w:color w:val="000000"/>
                <w:sz w:val="17"/>
              </w:rPr>
              <w:t>€11,995,055</w:t>
            </w:r>
          </w:p>
        </w:tc>
      </w:tr>
    </w:tbl>
    <w:p>
      <w:pPr>
        <w:spacing w:after="120"/>
      </w:pPr>
    </w:p>
    <w:p>
      <w:pPr>
        <w:spacing w:after="100"/>
        <w:jc w:val="both"/>
      </w:pPr>
      <w:r>
        <w:rPr>
          <w:rFonts w:ascii="Calibri" w:hAnsi="Calibri"/>
          <w:b w:val="0"/>
          <w:i w:val="0"/>
          <w:color w:val="000000"/>
          <w:sz w:val="20"/>
        </w:rPr>
        <w:t>Galascope target PAC: 31 January 2027. Galascope EPC is with Galascope Ltd; companion LTSA, EMS addendum, and OEM warranty undertaking per park are intended with that EPC.</w:t>
      </w:r>
    </w:p>
    <w:p>
      <w:pPr>
        <w:spacing w:before="320" w:after="80"/>
      </w:pPr>
      <w:r>
        <w:rPr>
          <w:rFonts w:ascii="Calibri" w:hAnsi="Calibri"/>
          <w:b/>
          <w:i w:val="0"/>
          <w:color w:val="C9A432"/>
          <w:sz w:val="24"/>
        </w:rPr>
        <w:t>4.   COMMERCIAL SUMMARY</w:t>
      </w:r>
    </w:p>
    <w:p>
      <w:pPr>
        <w:spacing w:after="100"/>
        <w:jc w:val="both"/>
      </w:pPr>
      <w:r>
        <w:rPr>
          <w:rFonts w:ascii="Calibri" w:hAnsi="Calibri"/>
          <w:b w:val="0"/>
          <w:i w:val="0"/>
          <w:color w:val="000000"/>
          <w:sz w:val="20"/>
        </w:rPr>
        <w:t>4.1  Indicative payment structure for each EPC (detail in the EPC): 30% advance; 55% pre-shipment; 10% on PAC; 5% retention released after a three (3) month defects liability period following PAC.</w:t>
      </w:r>
    </w:p>
    <w:p>
      <w:pPr>
        <w:spacing w:after="100"/>
        <w:jc w:val="both"/>
      </w:pPr>
      <w:r>
        <w:rPr>
          <w:rFonts w:ascii="Calibri" w:hAnsi="Calibri"/>
          <w:b w:val="0"/>
          <w:i w:val="0"/>
          <w:color w:val="000000"/>
          <w:sz w:val="20"/>
        </w:rPr>
        <w:t>4.2  Prices exclude VAT. Client scope includes civil works, planning, permits, and grid connection fees unless agreed otherwise in the EPC.</w:t>
      </w:r>
    </w:p>
    <w:p>
      <w:pPr>
        <w:spacing w:after="100"/>
        <w:jc w:val="both"/>
      </w:pPr>
      <w:r>
        <w:rPr>
          <w:rFonts w:ascii="Calibri" w:hAnsi="Calibri"/>
          <w:b w:val="0"/>
          <w:i w:val="0"/>
          <w:color w:val="000000"/>
          <w:sz w:val="20"/>
        </w:rPr>
        <w:t>4.3  (Pricing basis) Contract Price for each park is expressed and calculated per effective MWh (nameplate energy capacity) as stated in that park’s EPC Schedule A. For the Galascope batch (confirmed May 2026): Galascope 1 = 20.06 MWh effective; Galascope 2 = 10.03 MWh effective. Pipeline parks will state effective MWh in each phase EPC Schedule A.</w:t>
      </w:r>
    </w:p>
    <w:p>
      <w:pPr>
        <w:spacing w:after="100"/>
        <w:jc w:val="both"/>
      </w:pPr>
      <w:r>
        <w:rPr>
          <w:rFonts w:ascii="Calibri" w:hAnsi="Calibri"/>
          <w:b w:val="0"/>
          <w:i w:val="0"/>
          <w:color w:val="000000"/>
          <w:sz w:val="20"/>
        </w:rPr>
        <w:t>4.4  (Indicative Price) Schedule 1 and each EPC Component A and Component B at signing are Indicative Prices based on Linyang Quotation LY202601271 (January 2026), exclusive of VAT. The Indicative Price is binding on Lighthief from the EPC Effective Date until the Confirmed Price Certificate Date (as defined in the EPC).</w:t>
      </w:r>
    </w:p>
    <w:p>
      <w:pPr>
        <w:spacing w:after="100"/>
        <w:jc w:val="both"/>
      </w:pPr>
      <w:r>
        <w:rPr>
          <w:rFonts w:ascii="Calibri" w:hAnsi="Calibri"/>
          <w:b w:val="0"/>
          <w:i w:val="0"/>
          <w:color w:val="000000"/>
          <w:sz w:val="20"/>
        </w:rPr>
        <w:t>4.5  (Confirmed Price mechanism — EPC v5.1 §6.1) Each executed EPC shall apply the following, which the Parties intend for all Schedule 1 parks:</w:t>
      </w:r>
    </w:p>
    <w:p>
      <w:pPr>
        <w:pStyle w:val="ListBullet"/>
        <w:spacing w:after="40"/>
        <w:ind w:left="283"/>
      </w:pPr>
      <w:r>
        <w:rPr>
          <w:rFonts w:ascii="Calibri" w:hAnsi="Calibri"/>
          <w:b w:val="0"/>
          <w:i w:val="0"/>
          <w:color w:val="000000"/>
          <w:sz w:val="20"/>
        </w:rPr>
        <w:t>Within fourteen (14) days after the Client receives grid Connection Terms for that park or phase, Lighthief issues a Confirmed Price Certificate fixing the Contract Price for all subsequent payment milestones.</w:t>
      </w:r>
    </w:p>
    <w:p>
      <w:pPr>
        <w:pStyle w:val="ListBullet"/>
        <w:spacing w:after="40"/>
        <w:ind w:left="283"/>
      </w:pPr>
      <w:r>
        <w:rPr>
          <w:rFonts w:ascii="Calibri" w:hAnsi="Calibri"/>
          <w:b w:val="0"/>
          <w:i w:val="0"/>
          <w:color w:val="000000"/>
          <w:sz w:val="20"/>
        </w:rPr>
        <w:t>The Confirmed Price equals the Indicative Price unless: (i) the Mysteel lithium carbonate reference (155,000 CNY/tonne (Mysteel China battery-grade spot, January 2026 monthly average)) moves by more than ten percent (10%); or (ii) EUR/CNY (8.18 CNY per EUR (January 2026 average)) moves by more than eight percent (8%); or (iii) the Client requests a material configuration change in Schedule A.</w:t>
      </w:r>
    </w:p>
    <w:p>
      <w:pPr>
        <w:pStyle w:val="ListBullet"/>
        <w:spacing w:after="40"/>
        <w:ind w:left="283"/>
      </w:pPr>
      <w:r>
        <w:rPr>
          <w:rFonts w:ascii="Calibri" w:hAnsi="Calibri"/>
          <w:b w:val="0"/>
          <w:i w:val="0"/>
          <w:color w:val="000000"/>
          <w:sz w:val="20"/>
        </w:rPr>
        <w:t>Any upward adjustment is capped at five percent (5%) of the Indicative Contract Price. If the calculated adjustment exceeds 5%, either Party may terminate that EPC without penalty within fourteen (14) days of the Confirmed Price Certificate; advance payments are refunded within thirty (30) days, less reasonable documented costs.</w:t>
      </w:r>
    </w:p>
    <w:p>
      <w:pPr>
        <w:pStyle w:val="ListBullet"/>
        <w:spacing w:after="40"/>
        <w:ind w:left="283"/>
      </w:pPr>
      <w:r>
        <w:rPr>
          <w:rFonts w:ascii="Calibri" w:hAnsi="Calibri"/>
          <w:b w:val="0"/>
          <w:i w:val="0"/>
          <w:color w:val="000000"/>
          <w:sz w:val="20"/>
        </w:rPr>
        <w:t>Lighthief shall not pass through cost increases caused by Lighthief’s own delay or fault.</w:t>
      </w:r>
    </w:p>
    <w:p>
      <w:pPr>
        <w:pStyle w:val="ListBullet"/>
        <w:spacing w:after="40"/>
        <w:ind w:left="283"/>
      </w:pPr>
      <w:r>
        <w:rPr>
          <w:rFonts w:ascii="Calibri" w:hAnsi="Calibri"/>
          <w:b w:val="0"/>
          <w:i w:val="0"/>
          <w:color w:val="000000"/>
          <w:sz w:val="20"/>
        </w:rPr>
        <w:t>Advance payment (30%): due within thirty (30) days of the later of EPC Effective Date and Connection Terms (not on signing alone). Connection Terms must be obtained within twelve (12) months of Effective Date (EPC §1A.1 longstop).</w:t>
      </w:r>
    </w:p>
    <w:p>
      <w:pPr>
        <w:pStyle w:val="ListBullet"/>
        <w:spacing w:after="40"/>
        <w:ind w:left="283"/>
      </w:pPr>
      <w:r>
        <w:rPr>
          <w:rFonts w:ascii="Calibri" w:hAnsi="Calibri"/>
          <w:b w:val="0"/>
          <w:i w:val="0"/>
          <w:color w:val="000000"/>
          <w:sz w:val="20"/>
        </w:rPr>
        <w:t>Price Basis Certificates: at EPC signing, an Indicative Price Basis Certificate (indices, methodology, effective MWh, Indicative Price); at equipment delivery to Site, a Delivery Price Basis Certificate (Confirmed Price or adjustment shown). Client may dispute within fourteen (14) days of each Certificate.</w:t>
      </w:r>
    </w:p>
    <w:p>
      <w:pPr>
        <w:spacing w:after="100"/>
        <w:jc w:val="both"/>
      </w:pPr>
      <w:r>
        <w:rPr>
          <w:rFonts w:ascii="Calibri" w:hAnsi="Calibri"/>
          <w:b w:val="0"/>
          <w:i w:val="0"/>
          <w:color w:val="000000"/>
          <w:sz w:val="20"/>
        </w:rPr>
        <w:t>4.6  Schedule 1 Indicative totals remain valid for portfolio planning for ninety (90) days from this LOI. Material changes to Indicative figures for a phase will be notified at least thirty (30) days before that phase EPC is signed. Final commercial terms are only those in the executed EPC and Confirmed Price Certificate.</w:t>
      </w:r>
    </w:p>
    <w:p>
      <w:pPr>
        <w:spacing w:before="320" w:after="80"/>
      </w:pPr>
      <w:r>
        <w:rPr>
          <w:rFonts w:ascii="Calibri" w:hAnsi="Calibri"/>
          <w:b/>
          <w:i w:val="0"/>
          <w:color w:val="C9A432"/>
          <w:sz w:val="24"/>
        </w:rPr>
        <w:t>5.   COMPANION AGREEMENTS (INTENT)</w:t>
      </w:r>
    </w:p>
    <w:p>
      <w:pPr>
        <w:spacing w:after="100"/>
        <w:jc w:val="both"/>
      </w:pPr>
      <w:r>
        <w:rPr>
          <w:rFonts w:ascii="Calibri" w:hAnsi="Calibri"/>
          <w:b w:val="0"/>
          <w:i w:val="0"/>
          <w:color w:val="000000"/>
          <w:sz w:val="20"/>
        </w:rPr>
        <w:t>5.1  LTSA and EMS: The Client intends to enter LTSA(s) and, where applicable, DISPERON EMS subscription (Lighthief EU BESS Ltd) with each commissioned park. Indicative EMS rate EUR 400/MWh/year from PAC (separate addendum). Terms per the executed LTSA and EMS documents.</w:t>
      </w:r>
    </w:p>
    <w:p>
      <w:pPr>
        <w:spacing w:after="100"/>
        <w:jc w:val="both"/>
      </w:pPr>
      <w:r>
        <w:rPr>
          <w:rFonts w:ascii="Calibri" w:hAnsi="Calibri"/>
          <w:b w:val="0"/>
          <w:i w:val="0"/>
          <w:color w:val="000000"/>
          <w:sz w:val="20"/>
        </w:rPr>
        <w:t>5.2  Galascope: Companion documents for the Galascope batch (LTSA, EMS addendum, OEM warranty undertaking) are intended to be signed with the Galascope EPC.</w:t>
      </w:r>
    </w:p>
    <w:p>
      <w:pPr>
        <w:spacing w:before="320" w:after="80"/>
      </w:pPr>
      <w:r>
        <w:rPr>
          <w:rFonts w:ascii="Calibri" w:hAnsi="Calibri"/>
          <w:b/>
          <w:i w:val="0"/>
          <w:color w:val="C9A432"/>
          <w:sz w:val="24"/>
        </w:rPr>
        <w:t>6.   GOOD FAITH AND PHASE EXIT</w:t>
      </w:r>
    </w:p>
    <w:p>
      <w:pPr>
        <w:spacing w:after="100"/>
        <w:jc w:val="both"/>
      </w:pPr>
      <w:r>
        <w:rPr>
          <w:rFonts w:ascii="Calibri" w:hAnsi="Calibri"/>
          <w:b w:val="0"/>
          <w:i w:val="0"/>
          <w:color w:val="000000"/>
          <w:sz w:val="20"/>
        </w:rPr>
        <w:t>6.1  The Parties will negotiate each phase EPC in good faith. If terms are not agreed within sixty (60) days after the relevant EPC target date in Section 3, either Party may end this LOI for that phase only, without liability except Clause 1.3 costs.</w:t>
      </w:r>
    </w:p>
    <w:p>
      <w:pPr>
        <w:spacing w:before="320" w:after="80"/>
      </w:pPr>
      <w:r>
        <w:rPr>
          <w:rFonts w:ascii="Calibri" w:hAnsi="Calibri"/>
          <w:b/>
          <w:i w:val="0"/>
          <w:color w:val="C9A432"/>
          <w:sz w:val="24"/>
        </w:rPr>
        <w:t>7.   EXCLUSIVITY</w:t>
      </w:r>
    </w:p>
    <w:p>
      <w:pPr>
        <w:spacing w:after="100"/>
        <w:jc w:val="both"/>
      </w:pPr>
      <w:r>
        <w:rPr>
          <w:rFonts w:ascii="Calibri" w:hAnsi="Calibri"/>
          <w:b w:val="0"/>
          <w:i w:val="0"/>
          <w:color w:val="000000"/>
          <w:sz w:val="20"/>
        </w:rPr>
        <w:t>7.1  (Binding) Until this LOI expires or all Schedule 1 EPCs are signed, and for six (6) months after each park’s PAC, the Client will not appoint another EPC contractor for any Schedule 1 park without Lighthief’s consent.</w:t>
      </w:r>
    </w:p>
    <w:p>
      <w:pPr>
        <w:spacing w:after="100"/>
        <w:jc w:val="both"/>
      </w:pPr>
      <w:r>
        <w:rPr>
          <w:rFonts w:ascii="Calibri" w:hAnsi="Calibri"/>
          <w:b w:val="0"/>
          <w:i w:val="0"/>
          <w:color w:val="000000"/>
          <w:sz w:val="20"/>
        </w:rPr>
        <w:t>7.2  This does not apply if Lighthief fails to agree an EPC for a phase within sixty (60) days after the target date, or if Lighthief materially breaches this LOI and does not remedy within thirty (30) days.</w:t>
      </w:r>
    </w:p>
    <w:p>
      <w:pPr>
        <w:spacing w:before="320" w:after="80"/>
      </w:pPr>
      <w:r>
        <w:rPr>
          <w:rFonts w:ascii="Calibri" w:hAnsi="Calibri"/>
          <w:b/>
          <w:i w:val="0"/>
          <w:color w:val="C9A432"/>
          <w:sz w:val="24"/>
        </w:rPr>
        <w:t>8.   CONFIDENTIALITY</w:t>
      </w:r>
    </w:p>
    <w:p>
      <w:pPr>
        <w:spacing w:after="100"/>
        <w:jc w:val="both"/>
      </w:pPr>
      <w:r>
        <w:rPr>
          <w:rFonts w:ascii="Calibri" w:hAnsi="Calibri"/>
          <w:b w:val="0"/>
          <w:i w:val="0"/>
          <w:color w:val="000000"/>
          <w:sz w:val="20"/>
        </w:rPr>
        <w:t>8.1  (Binding) Each Party shall keep confidential this LOI and related commercial, technical, and pricing information, except to advisers, lenders, or as required by law. This survives for five (5) years after this LOI ends.</w:t>
      </w:r>
    </w:p>
    <w:p>
      <w:pPr>
        <w:spacing w:before="320" w:after="80"/>
      </w:pPr>
      <w:r>
        <w:rPr>
          <w:rFonts w:ascii="Calibri" w:hAnsi="Calibri"/>
          <w:b/>
          <w:i w:val="0"/>
          <w:color w:val="C9A432"/>
          <w:sz w:val="24"/>
        </w:rPr>
        <w:t>9.   TERM AND GOVERNING LAW</w:t>
      </w:r>
    </w:p>
    <w:p>
      <w:pPr>
        <w:spacing w:after="100"/>
        <w:jc w:val="both"/>
      </w:pPr>
      <w:r>
        <w:rPr>
          <w:rFonts w:ascii="Calibri" w:hAnsi="Calibri"/>
          <w:b w:val="0"/>
          <w:i w:val="0"/>
          <w:color w:val="000000"/>
          <w:sz w:val="20"/>
        </w:rPr>
        <w:t>9.1  This LOI runs until the earlier of: all Schedule 1 EPCs signed, thirty-six (36) months from signing, or termination of a phase under Section 6.</w:t>
      </w:r>
    </w:p>
    <w:p>
      <w:pPr>
        <w:spacing w:after="100"/>
        <w:jc w:val="both"/>
      </w:pPr>
      <w:r>
        <w:rPr>
          <w:rFonts w:ascii="Calibri" w:hAnsi="Calibri"/>
          <w:b w:val="0"/>
          <w:i w:val="0"/>
          <w:color w:val="000000"/>
          <w:sz w:val="20"/>
        </w:rPr>
        <w:t>9.2  This LOI is governed by Cyprus law. Cyprus courts have exclusive jurisdiction.</w:t>
      </w:r>
    </w:p>
    <w:p>
      <w:pPr>
        <w:spacing w:after="100"/>
        <w:jc w:val="both"/>
      </w:pPr>
      <w:r>
        <w:rPr>
          <w:rFonts w:ascii="Calibri" w:hAnsi="Calibri"/>
          <w:b w:val="0"/>
          <w:i w:val="0"/>
          <w:color w:val="000000"/>
          <w:sz w:val="20"/>
        </w:rPr>
        <w:t>9.3  Amendments require written agreement. This LOI and Schedule 1 are the full record for the portfolio commitment described here.</w:t>
      </w:r>
    </w:p>
    <w:p>
      <w:pPr>
        <w:spacing w:after="100"/>
        <w:jc w:val="both"/>
      </w:pPr>
      <w:r>
        <w:rPr>
          <w:rFonts w:ascii="Calibri" w:hAnsi="Calibri"/>
          <w:b w:val="0"/>
          <w:i w:val="0"/>
          <w:color w:val="000000"/>
          <w:sz w:val="20"/>
        </w:rPr>
        <w:t>Notices: Lighthief — office@lighthief.com (Alexander Papacosta). Client — Dino Constantinou (details to be inserted).</w:t>
      </w:r>
    </w:p>
    <w:p>
      <w:pPr>
        <w:spacing w:after="80"/>
      </w:pPr>
    </w:p>
    <w:tbl>
      <w:tblPr>
        <w:jc w:val="left"/>
        <w:tblLook w:firstColumn="1" w:firstRow="1" w:lastColumn="0" w:lastRow="0" w:noHBand="0" w:noVBand="1" w:val="04A0"/>
        <w:tblW w:w="7938" w:type="dxa"/>
        <w:tblLayout w:type="fixed"/>
      </w:tblPr>
      <w:tblGrid>
        <w:gridCol w:w="7938"/>
      </w:tblGrid>
      <w:tr>
        <w:tc>
          <w:tcPr>
            <w:shd w:val="clear" w:color="auto" w:fill="FEF3C7"/>
            <w:vAlign w:val="center"/>
            <w:tcW w:w="7938" w:type="dxa"/>
          </w:tcPr>
          <w:p>
            <w:pPr>
              <w:spacing w:before="120" w:after="120"/>
              <w:jc w:val="both"/>
            </w:pPr>
            <w:r>
              <w:rPr>
                <w:rFonts w:ascii="Calibri" w:hAnsi="Calibri"/>
                <w:b/>
                <w:i w:val="0"/>
                <w:color w:val="92400E"/>
                <w:sz w:val="18"/>
              </w:rPr>
              <w:t xml:space="preserve">NATURE OF THIS DOCUMENT:  </w:t>
            </w:r>
            <w:r>
              <w:rPr>
                <w:rFonts w:ascii="Calibri" w:hAnsi="Calibri"/>
                <w:b w:val="0"/>
                <w:i w:val="0"/>
                <w:color w:val="78350F"/>
                <w:sz w:val="18"/>
              </w:rPr>
              <w:t>Non-binding except Clauses 1.3 (reliance costs), 7 (exclusivity), and 8 (confidentiality). This LOI covers Galascope 1 &amp; 2 and nine (9) pipeline parks in Schedule 1. Each EPC is binding only when signed. Legal and commercial detail (warranty, LDs, APG, etc.) is in the relevant EPC v5.1. Section 4 summarises the binding Indicative + Confirmed Price mechanism to be replicated in each EPC §6.1.</w:t>
            </w:r>
          </w:p>
        </w:tc>
      </w:tr>
    </w:tbl>
    <w:p>
      <w:pPr>
        <w:spacing w:before="320" w:after="80"/>
      </w:pPr>
      <w:r>
        <w:rPr>
          <w:rFonts w:ascii="Calibri" w:hAnsi="Calibri"/>
          <w:b/>
          <w:i w:val="0"/>
          <w:color w:val="C9A432"/>
          <w:sz w:val="24"/>
        </w:rPr>
        <w:t>SIGNATURES</w:t>
      </w:r>
    </w:p>
    <w:p>
      <w:pPr>
        <w:spacing w:after="200"/>
        <w:jc w:val="both"/>
      </w:pPr>
      <w:r>
        <w:rPr>
          <w:rFonts w:ascii="Calibri" w:hAnsi="Calibri"/>
          <w:b w:val="0"/>
          <w:i w:val="0"/>
          <w:color w:val="000000"/>
          <w:sz w:val="20"/>
        </w:rPr>
        <w:t>IN WITNESS WHEREOF, the authorised representatives of the Parties have executed this Letter of Intent as of the date first written above.</w:t>
      </w:r>
    </w:p>
    <w:tbl>
      <w:tblPr>
        <w:jc w:val="left"/>
        <w:tblLook w:firstColumn="1" w:firstRow="1" w:lastColumn="0" w:lastRow="0" w:noHBand="0" w:noVBand="1" w:val="04A0"/>
        <w:tblW w:w="7938" w:type="dxa"/>
        <w:tblLayout w:type="fixed"/>
      </w:tblPr>
      <w:tblGrid>
        <w:gridCol w:w="3969"/>
        <w:gridCol w:w="3969"/>
      </w:tblGrid>
      <w:tr>
        <w:tc>
          <w:tcPr>
            <w:shd w:val="clear" w:color="auto" w:fill="1A365D"/>
            <w:tcW w:w="3969" w:type="dxa"/>
          </w:tcPr>
          <w:p>
            <w:pPr>
              <w:spacing w:before="100" w:after="100"/>
            </w:pPr>
            <w:r>
              <w:rPr>
                <w:rFonts w:ascii="Calibri" w:hAnsi="Calibri"/>
                <w:b/>
                <w:i w:val="0"/>
                <w:color w:val="FFFFFF"/>
                <w:sz w:val="18"/>
              </w:rPr>
              <w:t>For and on behalf of</w:t>
              <w:br/>
              <w:t>Lighthief Cyprus Ltd</w:t>
            </w:r>
          </w:p>
        </w:tc>
        <w:tc>
          <w:tcPr>
            <w:shd w:val="clear" w:color="auto" w:fill="1A365D"/>
            <w:tcW w:w="3969" w:type="dxa"/>
          </w:tcPr>
          <w:p>
            <w:pPr>
              <w:spacing w:before="100" w:after="100"/>
            </w:pPr>
            <w:r>
              <w:rPr>
                <w:rFonts w:ascii="Calibri" w:hAnsi="Calibri"/>
                <w:b/>
                <w:i w:val="0"/>
                <w:color w:val="FFFFFF"/>
                <w:sz w:val="18"/>
              </w:rPr>
              <w:t>For and on behalf of</w:t>
              <w:br/>
              <w:t>Esperia Energy Group</w:t>
            </w:r>
          </w:p>
        </w:tc>
      </w:tr>
      <w:tr>
        <w:tc>
          <w:tcPr>
            <w:tcW w:w="3969" w:type="dxa"/>
          </w:tcPr>
          <w:p>
            <w:pPr>
              <w:spacing w:before="140" w:after="140"/>
            </w:pPr>
            <w:r>
              <w:rPr>
                <w:rFonts w:ascii="Calibri" w:hAnsi="Calibri"/>
                <w:b w:val="0"/>
                <w:i w:val="0"/>
                <w:color w:val="000000"/>
                <w:sz w:val="20"/>
              </w:rPr>
              <w:t>Name:   Alexander Papacosta</w:t>
            </w:r>
          </w:p>
        </w:tc>
        <w:tc>
          <w:tcPr>
            <w:tcW w:w="3969" w:type="dxa"/>
          </w:tcPr>
          <w:p>
            <w:pPr>
              <w:spacing w:before="140" w:after="140"/>
            </w:pPr>
            <w:r>
              <w:rPr>
                <w:rFonts w:ascii="Calibri" w:hAnsi="Calibri"/>
                <w:b w:val="0"/>
                <w:i w:val="0"/>
                <w:color w:val="000000"/>
                <w:sz w:val="20"/>
              </w:rPr>
              <w:t>Name:   ___________________________</w:t>
            </w:r>
          </w:p>
        </w:tc>
      </w:tr>
      <w:tr>
        <w:tc>
          <w:tcPr>
            <w:tcW w:w="3969" w:type="dxa"/>
          </w:tcPr>
          <w:p>
            <w:pPr>
              <w:spacing w:before="140" w:after="140"/>
            </w:pPr>
            <w:r>
              <w:rPr>
                <w:rFonts w:ascii="Calibri" w:hAnsi="Calibri"/>
                <w:b w:val="0"/>
                <w:i w:val="0"/>
                <w:color w:val="000000"/>
                <w:sz w:val="20"/>
              </w:rPr>
              <w:t>Title:    Managing Director</w:t>
            </w:r>
          </w:p>
        </w:tc>
        <w:tc>
          <w:tcPr>
            <w:tcW w:w="3969" w:type="dxa"/>
          </w:tcPr>
          <w:p>
            <w:pPr>
              <w:spacing w:before="140" w:after="140"/>
            </w:pPr>
            <w:r>
              <w:rPr>
                <w:rFonts w:ascii="Calibri" w:hAnsi="Calibri"/>
                <w:b w:val="0"/>
                <w:i w:val="0"/>
                <w:color w:val="000000"/>
                <w:sz w:val="20"/>
              </w:rPr>
              <w:t>Title:    ___________________________</w:t>
            </w:r>
          </w:p>
        </w:tc>
      </w:tr>
      <w:tr>
        <w:tc>
          <w:tcPr>
            <w:tcW w:w="3969" w:type="dxa"/>
          </w:tcPr>
          <w:p>
            <w:pPr>
              <w:spacing w:before="140" w:after="140"/>
            </w:pPr>
            <w:r>
              <w:rPr>
                <w:rFonts w:ascii="Calibri" w:hAnsi="Calibri"/>
                <w:b w:val="0"/>
                <w:i w:val="0"/>
                <w:color w:val="000000"/>
                <w:sz w:val="20"/>
              </w:rPr>
              <w:t>Signature:   ___________________________</w:t>
            </w:r>
          </w:p>
        </w:tc>
        <w:tc>
          <w:tcPr>
            <w:tcW w:w="3969" w:type="dxa"/>
          </w:tcPr>
          <w:p>
            <w:pPr>
              <w:spacing w:before="140" w:after="140"/>
            </w:pPr>
            <w:r>
              <w:rPr>
                <w:rFonts w:ascii="Calibri" w:hAnsi="Calibri"/>
                <w:b w:val="0"/>
                <w:i w:val="0"/>
                <w:color w:val="000000"/>
                <w:sz w:val="20"/>
              </w:rPr>
              <w:t>Signature:   ___________________________</w:t>
            </w:r>
          </w:p>
        </w:tc>
      </w:tr>
      <w:tr>
        <w:tc>
          <w:tcPr>
            <w:tcW w:w="3969" w:type="dxa"/>
          </w:tcPr>
          <w:p>
            <w:pPr>
              <w:spacing w:before="140" w:after="140"/>
            </w:pPr>
            <w:r>
              <w:rPr>
                <w:rFonts w:ascii="Calibri" w:hAnsi="Calibri"/>
                <w:b w:val="0"/>
                <w:i w:val="0"/>
                <w:color w:val="000000"/>
                <w:sz w:val="20"/>
              </w:rPr>
              <w:t>Date:   ___________________________</w:t>
            </w:r>
          </w:p>
        </w:tc>
        <w:tc>
          <w:tcPr>
            <w:tcW w:w="3969" w:type="dxa"/>
          </w:tcPr>
          <w:p>
            <w:pPr>
              <w:spacing w:before="140" w:after="140"/>
            </w:pPr>
            <w:r>
              <w:rPr>
                <w:rFonts w:ascii="Calibri" w:hAnsi="Calibri"/>
                <w:b w:val="0"/>
                <w:i w:val="0"/>
                <w:color w:val="000000"/>
                <w:sz w:val="20"/>
              </w:rPr>
              <w:t>Date:   ___________________________</w:t>
            </w:r>
          </w:p>
        </w:tc>
      </w:tr>
    </w:tbl>
    <w:p>
      <w:pPr>
        <w:spacing w:after="160"/>
      </w:pPr>
    </w:p>
    <w:p>
      <w:pPr>
        <w:jc w:val="center"/>
      </w:pPr>
      <w:r>
        <w:rPr>
          <w:rFonts w:ascii="Calibri" w:hAnsi="Calibri"/>
          <w:b w:val="0"/>
          <w:i w:val="0"/>
          <w:color w:val="404040"/>
          <w:sz w:val="15"/>
        </w:rPr>
        <w:t>Lighthief Cyprus Ltd  │  HE 477423  │  28 October Ave 249, Lophitis Business Center 1, Office 201, 3035 Limassol, Cyprus</w:t>
        <w:br/>
        <w:t>office@lighthief.com  │  +357 77 77 00 50  │  solarfarms.cy  │  Ref: LCY-LOI-ESP-PIPELINE-2026-R5</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