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2"/>
        </w:rPr>
        <w:t>GENERAL INTRODUCER AGREEMENT</w:t>
      </w:r>
    </w:p>
    <w:p>
      <w:pPr>
        <w:jc w:val="center"/>
      </w:pPr>
      <w:r>
        <w:rPr>
          <w:rFonts w:ascii="Calibri" w:hAnsi="Calibri"/>
          <w:i/>
          <w:color w:val="404040"/>
          <w:sz w:val="22"/>
        </w:rPr>
        <w:t>Renewable Energy &amp; Clean Technology Solutions — Worldwide</w:t>
        <w:br/>
        <w:t>Lighthief Cyprus Ltd  ·  General Introducer Programme</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Agreement Reference</w:t>
            </w:r>
          </w:p>
        </w:tc>
        <w:tc>
          <w:tcPr>
            <w:tcW w:type="dxa" w:w="4419"/>
          </w:tcPr>
          <w:p>
            <w:r>
              <w:rPr>
                <w:color w:val="000000"/>
                <w:sz w:val="20"/>
              </w:rPr>
              <w:t>LCY-INT-IPN-2026-001</w:t>
            </w:r>
          </w:p>
        </w:tc>
      </w:tr>
      <w:tr>
        <w:tc>
          <w:tcPr>
            <w:tcW w:type="dxa" w:w="4419"/>
          </w:tcPr>
          <w:p>
            <w:r>
              <w:rPr>
                <w:b/>
                <w:sz w:val="20"/>
              </w:rPr>
              <w:t>Date of Agreement</w:t>
            </w:r>
          </w:p>
        </w:tc>
        <w:tc>
          <w:tcPr>
            <w:tcW w:type="dxa" w:w="4419"/>
          </w:tcPr>
          <w:p>
            <w:r>
              <w:rPr>
                <w:color w:val="000000"/>
                <w:sz w:val="20"/>
              </w:rPr>
              <w:t>_______ / _______ / _______</w:t>
            </w:r>
          </w:p>
        </w:tc>
      </w:tr>
      <w:tr>
        <w:tc>
          <w:tcPr>
            <w:tcW w:type="dxa" w:w="4419"/>
          </w:tcPr>
          <w:p>
            <w:r>
              <w:rPr>
                <w:b/>
                <w:sz w:val="20"/>
              </w:rPr>
              <w:t>Classification</w:t>
            </w:r>
          </w:p>
        </w:tc>
        <w:tc>
          <w:tcPr>
            <w:tcW w:type="dxa" w:w="4419"/>
          </w:tcPr>
          <w:p>
            <w:r>
              <w:rPr>
                <w:color w:val="000000"/>
                <w:sz w:val="20"/>
              </w:rPr>
              <w:t>CONFIDENTIAL — Between Parties Only</w:t>
            </w:r>
          </w:p>
        </w:tc>
      </w:tr>
    </w:tbl>
    <w:p/>
    <w:p>
      <w:r>
        <w:rPr>
          <w:color w:val="404040"/>
          <w:sz w:val="16"/>
        </w:rPr>
        <w:t>────────────────────────────────────────────────────────────────────────────────</w:t>
      </w:r>
    </w:p>
    <w:p/>
    <w:p>
      <w:pPr>
        <w:pStyle w:val="Heading1"/>
        <w:jc w:val="left"/>
      </w:pPr>
      <w:r>
        <w:rPr>
          <w:b/>
          <w:color w:val="C9A432"/>
          <w:sz w:val="28"/>
        </w:rPr>
        <w:t>1.  PARTIES</w:t>
      </w:r>
    </w:p>
    <w:p>
      <w:pPr>
        <w:pStyle w:val="Heading2"/>
        <w:jc w:val="left"/>
      </w:pPr>
      <w:r>
        <w:rPr>
          <w:b/>
          <w:color w:val="C9A432"/>
          <w:sz w:val="24"/>
        </w:rPr>
        <w:t>1.1  Principal</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w:t>
            </w:r>
          </w:p>
        </w:tc>
        <w:tc>
          <w:tcPr>
            <w:tcW w:type="dxa" w:w="4419"/>
          </w:tcPr>
          <w:p>
            <w:r>
              <w:rPr>
                <w:color w:val="000000"/>
                <w:sz w:val="20"/>
              </w:rPr>
              <w:t>LIGHTHIEF CYPRUS LTD</w:t>
            </w:r>
          </w:p>
        </w:tc>
      </w:tr>
      <w:tr>
        <w:tc>
          <w:tcPr>
            <w:tcW w:type="dxa" w:w="4419"/>
          </w:tcPr>
          <w:p>
            <w:r>
              <w:rPr>
                <w:b/>
                <w:sz w:val="20"/>
              </w:rPr>
              <w:t>Reg. No.</w:t>
            </w:r>
          </w:p>
        </w:tc>
        <w:tc>
          <w:tcPr>
            <w:tcW w:type="dxa" w:w="4419"/>
          </w:tcPr>
          <w:p>
            <w:r>
              <w:rPr>
                <w:color w:val="000000"/>
                <w:sz w:val="20"/>
              </w:rPr>
              <w:t>HE 477423</w:t>
            </w:r>
          </w:p>
        </w:tc>
      </w:tr>
      <w:tr>
        <w:tc>
          <w:tcPr>
            <w:tcW w:type="dxa" w:w="4419"/>
          </w:tcPr>
          <w:p>
            <w:r>
              <w:rPr>
                <w:b/>
                <w:sz w:val="20"/>
              </w:rPr>
              <w:t>TIN</w:t>
            </w:r>
          </w:p>
        </w:tc>
        <w:tc>
          <w:tcPr>
            <w:tcW w:type="dxa" w:w="4419"/>
          </w:tcPr>
          <w:p>
            <w:r>
              <w:rPr>
                <w:color w:val="000000"/>
                <w:sz w:val="20"/>
              </w:rPr>
              <w:t>60187188Q</w:t>
            </w:r>
          </w:p>
        </w:tc>
      </w:tr>
      <w:tr>
        <w:tc>
          <w:tcPr>
            <w:tcW w:type="dxa" w:w="4419"/>
          </w:tcPr>
          <w:p>
            <w:r>
              <w:rPr>
                <w:b/>
                <w:sz w:val="20"/>
              </w:rPr>
              <w:t>Address</w:t>
            </w:r>
          </w:p>
        </w:tc>
        <w:tc>
          <w:tcPr>
            <w:tcW w:type="dxa" w:w="4419"/>
          </w:tcPr>
          <w:p>
            <w:r>
              <w:rPr>
                <w:color w:val="000000"/>
                <w:sz w:val="20"/>
              </w:rPr>
              <w:t>28 October Ave 249, Lophitis Business Center I, Office 201, 3035 Limassol, Cyprus</w:t>
            </w:r>
          </w:p>
        </w:tc>
      </w:tr>
      <w:tr>
        <w:tc>
          <w:tcPr>
            <w:tcW w:type="dxa" w:w="4419"/>
          </w:tcPr>
          <w:p>
            <w:r>
              <w:rPr>
                <w:b/>
                <w:sz w:val="20"/>
              </w:rPr>
              <w:t>Email</w:t>
            </w:r>
          </w:p>
        </w:tc>
        <w:tc>
          <w:tcPr>
            <w:tcW w:type="dxa" w:w="4419"/>
          </w:tcPr>
          <w:p>
            <w:r>
              <w:rPr>
                <w:color w:val="000000"/>
                <w:sz w:val="20"/>
              </w:rPr>
              <w:t>office@lighthief.com</w:t>
            </w:r>
          </w:p>
        </w:tc>
      </w:tr>
      <w:tr>
        <w:tc>
          <w:tcPr>
            <w:tcW w:type="dxa" w:w="4419"/>
          </w:tcPr>
          <w:p>
            <w:r>
              <w:rPr>
                <w:b/>
                <w:sz w:val="20"/>
              </w:rPr>
              <w:t>Tel</w:t>
            </w:r>
          </w:p>
        </w:tc>
        <w:tc>
          <w:tcPr>
            <w:tcW w:type="dxa" w:w="4419"/>
          </w:tcPr>
          <w:p>
            <w:r>
              <w:rPr>
                <w:color w:val="000000"/>
                <w:sz w:val="20"/>
              </w:rPr>
              <w:t>+357 77 77 00 50</w:t>
            </w:r>
          </w:p>
        </w:tc>
      </w:tr>
      <w:tr>
        <w:tc>
          <w:tcPr>
            <w:tcW w:type="dxa" w:w="4419"/>
          </w:tcPr>
          <w:p>
            <w:r>
              <w:rPr>
                <w:b/>
                <w:sz w:val="20"/>
              </w:rPr>
              <w:t>Website</w:t>
            </w:r>
          </w:p>
        </w:tc>
        <w:tc>
          <w:tcPr>
            <w:tcW w:type="dxa" w:w="4419"/>
          </w:tcPr>
          <w:p>
            <w:r>
              <w:rPr>
                <w:color w:val="000000"/>
                <w:sz w:val="20"/>
              </w:rPr>
              <w:t>solarfarms.cy</w:t>
            </w:r>
          </w:p>
        </w:tc>
      </w:tr>
      <w:tr>
        <w:tc>
          <w:tcPr>
            <w:tcW w:type="dxa" w:w="4419"/>
          </w:tcPr>
          <w:p>
            <w:r>
              <w:rPr>
                <w:b/>
                <w:sz w:val="20"/>
              </w:rPr>
              <w:t>Representative</w:t>
            </w:r>
          </w:p>
        </w:tc>
        <w:tc>
          <w:tcPr>
            <w:tcW w:type="dxa" w:w="4419"/>
          </w:tcPr>
          <w:p>
            <w:r>
              <w:rPr>
                <w:color w:val="000000"/>
                <w:sz w:val="20"/>
              </w:rPr>
              <w:t>Alexander Papacosta, Cyprus Director</w:t>
            </w:r>
          </w:p>
        </w:tc>
      </w:tr>
    </w:tbl>
    <w:p/>
    <w:p>
      <w:pPr>
        <w:pStyle w:val="Heading2"/>
        <w:jc w:val="left"/>
      </w:pPr>
      <w:r>
        <w:rPr>
          <w:b/>
          <w:color w:val="C9A432"/>
          <w:sz w:val="24"/>
        </w:rPr>
        <w:t>1.2  Introducer</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 Name</w:t>
            </w:r>
          </w:p>
        </w:tc>
        <w:tc>
          <w:tcPr>
            <w:tcW w:type="dxa" w:w="4419"/>
          </w:tcPr>
          <w:p>
            <w:r>
              <w:rPr>
                <w:color w:val="000000"/>
                <w:sz w:val="20"/>
              </w:rPr>
              <w:t>IPN INTERNATIONAL PROPERTY NETWORK (CYPRUS) LIMITED</w:t>
            </w:r>
          </w:p>
        </w:tc>
      </w:tr>
      <w:tr>
        <w:tc>
          <w:tcPr>
            <w:tcW w:type="dxa" w:w="4419"/>
          </w:tcPr>
          <w:p>
            <w:r>
              <w:rPr>
                <w:b/>
                <w:sz w:val="20"/>
              </w:rPr>
              <w:t>Registration No.</w:t>
            </w:r>
          </w:p>
        </w:tc>
        <w:tc>
          <w:tcPr>
            <w:tcW w:type="dxa" w:w="4419"/>
          </w:tcPr>
          <w:p>
            <w:r>
              <w:rPr>
                <w:color w:val="000000"/>
                <w:sz w:val="20"/>
              </w:rPr>
              <w:t>HE 351537</w:t>
            </w:r>
          </w:p>
        </w:tc>
      </w:tr>
      <w:tr>
        <w:tc>
          <w:tcPr>
            <w:tcW w:type="dxa" w:w="4419"/>
          </w:tcPr>
          <w:p>
            <w:r>
              <w:rPr>
                <w:b/>
                <w:sz w:val="20"/>
              </w:rPr>
              <w:t>Registered Address</w:t>
            </w:r>
          </w:p>
        </w:tc>
        <w:tc>
          <w:tcPr>
            <w:tcW w:type="dxa" w:w="4419"/>
          </w:tcPr>
          <w:p>
            <w:r>
              <w:rPr>
                <w:color w:val="000000"/>
                <w:sz w:val="20"/>
              </w:rPr>
              <w:t>______________________________________</w:t>
            </w:r>
          </w:p>
        </w:tc>
      </w:tr>
      <w:tr>
        <w:tc>
          <w:tcPr>
            <w:tcW w:type="dxa" w:w="4419"/>
          </w:tcPr>
          <w:p>
            <w:r>
              <w:rPr>
                <w:b/>
                <w:sz w:val="20"/>
              </w:rPr>
              <w:t>Email</w:t>
            </w:r>
          </w:p>
        </w:tc>
        <w:tc>
          <w:tcPr>
            <w:tcW w:type="dxa" w:w="4419"/>
          </w:tcPr>
          <w:p>
            <w:r>
              <w:rPr>
                <w:color w:val="000000"/>
                <w:sz w:val="20"/>
              </w:rPr>
              <w:t>______________________________________</w:t>
            </w:r>
          </w:p>
        </w:tc>
      </w:tr>
      <w:tr>
        <w:tc>
          <w:tcPr>
            <w:tcW w:type="dxa" w:w="4419"/>
          </w:tcPr>
          <w:p>
            <w:r>
              <w:rPr>
                <w:b/>
                <w:sz w:val="20"/>
              </w:rPr>
              <w:t>Tel</w:t>
            </w:r>
          </w:p>
        </w:tc>
        <w:tc>
          <w:tcPr>
            <w:tcW w:type="dxa" w:w="4419"/>
          </w:tcPr>
          <w:p>
            <w:r>
              <w:rPr>
                <w:color w:val="000000"/>
                <w:sz w:val="20"/>
              </w:rPr>
              <w:t>______________________________________</w:t>
            </w:r>
          </w:p>
        </w:tc>
      </w:tr>
      <w:tr>
        <w:tc>
          <w:tcPr>
            <w:tcW w:type="dxa" w:w="4419"/>
          </w:tcPr>
          <w:p>
            <w:r>
              <w:rPr>
                <w:b/>
                <w:sz w:val="20"/>
              </w:rPr>
              <w:t>Authorised Representative</w:t>
            </w:r>
          </w:p>
        </w:tc>
        <w:tc>
          <w:tcPr>
            <w:tcW w:type="dxa" w:w="4419"/>
          </w:tcPr>
          <w:p>
            <w:r>
              <w:rPr>
                <w:color w:val="000000"/>
                <w:sz w:val="20"/>
              </w:rPr>
              <w:t>Vasos Kolonas</w:t>
            </w:r>
          </w:p>
        </w:tc>
      </w:tr>
      <w:tr>
        <w:tc>
          <w:tcPr>
            <w:tcW w:type="dxa" w:w="4419"/>
          </w:tcPr>
          <w:p>
            <w:r>
              <w:rPr>
                <w:b/>
                <w:sz w:val="20"/>
              </w:rPr>
              <w:t>Professional Capacity</w:t>
            </w:r>
          </w:p>
        </w:tc>
        <w:tc>
          <w:tcPr>
            <w:tcW w:type="dxa" w:w="4419"/>
          </w:tcPr>
          <w:p>
            <w:r>
              <w:rPr>
                <w:color w:val="000000"/>
                <w:sz w:val="20"/>
              </w:rPr>
              <w:t>Authorised Representative</w:t>
            </w:r>
          </w:p>
        </w:tc>
      </w:tr>
    </w:tbl>
    <w:p/>
    <w:p>
      <w:r>
        <w:rPr>
          <w:rFonts w:ascii="Calibri" w:hAnsi="Calibri"/>
          <w:b w:val="0"/>
          <w:i/>
          <w:color w:val="404040"/>
          <w:sz w:val="22"/>
        </w:rPr>
        <w:t>The Principal and the Introducer are referred to individually as a “Party” and collectively as the “Parties”.</w:t>
      </w:r>
    </w:p>
    <w:p/>
    <w:p>
      <w:pPr>
        <w:pStyle w:val="Heading1"/>
        <w:jc w:val="left"/>
      </w:pPr>
      <w:r>
        <w:rPr>
          <w:b/>
          <w:color w:val="C9A432"/>
          <w:sz w:val="28"/>
        </w:rPr>
        <w:t>2.  RECITALS</w:t>
      </w:r>
    </w:p>
    <w:p>
      <w:r>
        <w:rPr>
          <w:rFonts w:ascii="Calibri" w:hAnsi="Calibri"/>
          <w:b w:val="0"/>
          <w:i w:val="0"/>
          <w:color w:val="000000"/>
          <w:sz w:val="22"/>
        </w:rPr>
        <w:t>(A)  The Principal is a Cyprus-registered company providing renewable energy products and services including, without limitation, solar photovoltaic (PV) systems, battery energy storage systems (BESS), operations and maintenance (O&amp;M) services, and related clean-technology solutions, to clients globally.</w:t>
      </w:r>
    </w:p>
    <w:p/>
    <w:p>
      <w:r>
        <w:rPr>
          <w:rFonts w:ascii="Calibri" w:hAnsi="Calibri"/>
          <w:b w:val="0"/>
          <w:i w:val="0"/>
          <w:color w:val="000000"/>
          <w:sz w:val="22"/>
        </w:rPr>
        <w:t>(B)  The Introducer has established relationships and networks which may be valuable in identifying prospective clients for the Principal's services.</w:t>
      </w:r>
    </w:p>
    <w:p/>
    <w:p>
      <w:r>
        <w:rPr>
          <w:rFonts w:ascii="Calibri" w:hAnsi="Calibri"/>
          <w:b w:val="0"/>
          <w:i w:val="0"/>
          <w:color w:val="000000"/>
          <w:sz w:val="22"/>
        </w:rPr>
        <w:t>(C)  The Parties wish to formalise the terms on which the Introducer will introduce prospective clients to the Principal and on which the Principal will pay an introducer commission in the event a contract is concluded with an Introduced Client.</w:t>
      </w:r>
    </w:p>
    <w:p/>
    <w:p>
      <w:pPr>
        <w:pStyle w:val="Heading1"/>
        <w:jc w:val="left"/>
      </w:pPr>
      <w:r>
        <w:rPr>
          <w:b/>
          <w:color w:val="C9A432"/>
          <w:sz w:val="28"/>
        </w:rPr>
        <w:t>3.  DEFINITIONS</w:t>
      </w:r>
    </w:p>
    <w:p>
      <w:pPr>
        <w:spacing w:after="80"/>
        <w:ind w:left="283"/>
      </w:pPr>
      <w:r>
        <w:rPr>
          <w:b/>
          <w:sz w:val="22"/>
        </w:rPr>
        <w:t xml:space="preserve">“Agreement”  </w:t>
      </w:r>
      <w:r>
        <w:rPr>
          <w:sz w:val="22"/>
        </w:rPr>
        <w:t>means this General Introducer Agreement, including all schedules.</w:t>
      </w:r>
    </w:p>
    <w:p>
      <w:pPr>
        <w:spacing w:after="80"/>
        <w:ind w:left="283"/>
      </w:pPr>
      <w:r>
        <w:rPr>
          <w:b/>
          <w:sz w:val="22"/>
        </w:rPr>
        <w:t xml:space="preserve">“Services”  </w:t>
      </w:r>
      <w:r>
        <w:rPr>
          <w:sz w:val="22"/>
        </w:rPr>
        <w:t>means any and all products and services provided by the Principal from time to time, including solar PV systems, BESS installations, O&amp;M contracts, energy management solutions, and any other clean-technology or renewable energy offering, in any jurisdiction worldwide.</w:t>
      </w:r>
    </w:p>
    <w:p>
      <w:pPr>
        <w:spacing w:after="80"/>
        <w:ind w:left="283"/>
      </w:pPr>
      <w:r>
        <w:rPr>
          <w:b/>
          <w:sz w:val="22"/>
        </w:rPr>
        <w:t xml:space="preserve">“Client Contract”  </w:t>
      </w:r>
      <w:r>
        <w:rPr>
          <w:sz w:val="22"/>
        </w:rPr>
        <w:t>means any contract, order, or agreement executed between the Principal and an Introduced Client for the supply of Services, howsoever structured.</w:t>
      </w:r>
    </w:p>
    <w:p>
      <w:pPr>
        <w:spacing w:after="80"/>
        <w:ind w:left="283"/>
      </w:pPr>
      <w:r>
        <w:rPr>
          <w:b/>
          <w:sz w:val="22"/>
        </w:rPr>
        <w:t xml:space="preserve">“Introduction”  </w:t>
      </w:r>
      <w:r>
        <w:rPr>
          <w:sz w:val="22"/>
        </w:rPr>
        <w:t>means a written notification by the Introducer to the Principal, sent by email to office@lighthief.com, identifying a prospective client by full name and a partial telephone number (country code plus at least the first digits of the subscriber number, sufficient to verify identity), in accordance with Clause 4.</w:t>
      </w:r>
    </w:p>
    <w:p>
      <w:pPr>
        <w:spacing w:after="80"/>
        <w:ind w:left="283"/>
      </w:pPr>
      <w:r>
        <w:rPr>
          <w:b/>
          <w:sz w:val="22"/>
        </w:rPr>
        <w:t xml:space="preserve">“Introduced Client”  </w:t>
      </w:r>
      <w:r>
        <w:rPr>
          <w:sz w:val="22"/>
        </w:rPr>
        <w:t>means a legal entity or natural person identified in a valid, confirmed Introduction who subsequently signs a Client Contract with the Principal within the Protection Period.</w:t>
      </w:r>
    </w:p>
    <w:p>
      <w:pPr>
        <w:spacing w:after="80"/>
        <w:ind w:left="283"/>
      </w:pPr>
      <w:r>
        <w:rPr>
          <w:b/>
          <w:sz w:val="22"/>
        </w:rPr>
        <w:t xml:space="preserve">“Registration Confirmation”  </w:t>
      </w:r>
      <w:r>
        <w:rPr>
          <w:sz w:val="22"/>
        </w:rPr>
        <w:t>means written confirmation issued by the Principal within five (5) Working Days of receipt of an Introduction, confirming either: (i) the prospective client is a new contact not already in the Principal’s active pipeline (“New Registration”); or (ii) the prospective client is an existing contact already engaged by the Principal (“Existing Contact”).</w:t>
      </w:r>
    </w:p>
    <w:p>
      <w:pPr>
        <w:spacing w:after="80"/>
        <w:ind w:left="283"/>
      </w:pPr>
      <w:r>
        <w:rPr>
          <w:b/>
          <w:sz w:val="22"/>
        </w:rPr>
        <w:t xml:space="preserve">“Protection Period”  </w:t>
      </w:r>
      <w:r>
        <w:rPr>
          <w:sz w:val="22"/>
        </w:rPr>
        <w:t>means the twelve (12) calendar month period following a New Registration Confirmation, during which the Introducer’s Commission entitlement is preserved.</w:t>
      </w:r>
    </w:p>
    <w:p>
      <w:pPr>
        <w:spacing w:after="80"/>
        <w:ind w:left="283"/>
      </w:pPr>
      <w:r>
        <w:rPr>
          <w:b/>
          <w:sz w:val="22"/>
        </w:rPr>
        <w:t xml:space="preserve">“Contract Value”  </w:t>
      </w:r>
      <w:r>
        <w:rPr>
          <w:sz w:val="22"/>
        </w:rPr>
        <w:t>means the net value of the Client Contract excluding VAT, as stated in the signed contract.</w:t>
      </w:r>
    </w:p>
    <w:p>
      <w:pPr>
        <w:spacing w:after="80"/>
        <w:ind w:left="283"/>
      </w:pPr>
      <w:r>
        <w:rPr>
          <w:b/>
          <w:sz w:val="22"/>
        </w:rPr>
        <w:t xml:space="preserve">“Commission”  </w:t>
      </w:r>
      <w:r>
        <w:rPr>
          <w:sz w:val="22"/>
        </w:rPr>
        <w:t>means the fee payable by the Principal to the Introducer on the terms of this Agreement.</w:t>
      </w:r>
    </w:p>
    <w:p>
      <w:pPr>
        <w:spacing w:after="80"/>
        <w:ind w:left="283"/>
      </w:pPr>
      <w:r>
        <w:rPr>
          <w:b/>
          <w:sz w:val="22"/>
        </w:rPr>
        <w:t xml:space="preserve">“Working Days”  </w:t>
      </w:r>
      <w:r>
        <w:rPr>
          <w:sz w:val="22"/>
        </w:rPr>
        <w:t>means Monday to Friday, excluding public holidays in Cyprus.</w:t>
      </w:r>
    </w:p>
    <w:p/>
    <w:p>
      <w:pPr>
        <w:pStyle w:val="Heading1"/>
        <w:jc w:val="left"/>
      </w:pPr>
      <w:r>
        <w:rPr>
          <w:b/>
          <w:color w:val="C9A432"/>
          <w:sz w:val="28"/>
        </w:rPr>
        <w:t>4.  APPOINTMENT</w:t>
      </w:r>
    </w:p>
    <w:p>
      <w:r>
        <w:rPr>
          <w:rFonts w:ascii="Calibri" w:hAnsi="Calibri"/>
          <w:b w:val="0"/>
          <w:i w:val="0"/>
          <w:color w:val="000000"/>
          <w:sz w:val="22"/>
        </w:rPr>
        <w:t>4.1  The Principal hereby appoints the Introducer as a non-exclusive general introducer for the purpose of identifying and introducing prospective clients for the Principal’s Services, in any country or territory worldwide.</w:t>
      </w:r>
    </w:p>
    <w:p/>
    <w:p>
      <w:r>
        <w:rPr>
          <w:rFonts w:ascii="Calibri" w:hAnsi="Calibri"/>
          <w:b w:val="0"/>
          <w:i w:val="0"/>
          <w:color w:val="000000"/>
          <w:sz w:val="22"/>
        </w:rPr>
        <w:t>4.2  The Introducer has no authority to negotiate pricing, make representations, accept orders, or enter into any contractual commitment on behalf of the Principal. All client negotiations and agreements are conducted solely by the Principal.</w:t>
      </w:r>
    </w:p>
    <w:p/>
    <w:p>
      <w:r>
        <w:rPr>
          <w:rFonts w:ascii="Calibri" w:hAnsi="Calibri"/>
          <w:b w:val="0"/>
          <w:i w:val="0"/>
          <w:color w:val="000000"/>
          <w:sz w:val="22"/>
        </w:rPr>
        <w:t>4.3  The Introducer acts as an independent contractor. Nothing in this Agreement creates an employment, partnership, joint venture, or agency relationship beyond the limited introducer scope described herein.</w:t>
      </w:r>
    </w:p>
    <w:p/>
    <w:p>
      <w:pPr>
        <w:pStyle w:val="Heading1"/>
        <w:jc w:val="left"/>
      </w:pPr>
      <w:r>
        <w:rPr>
          <w:b/>
          <w:color w:val="C9A432"/>
          <w:sz w:val="28"/>
        </w:rPr>
        <w:t>5.  INTRODUCTION &amp; REGISTRATION PROCESS</w:t>
      </w:r>
    </w:p>
    <w:p>
      <w:r>
        <w:rPr>
          <w:rFonts w:ascii="Calibri" w:hAnsi="Calibri"/>
          <w:b w:val="0"/>
          <w:i w:val="0"/>
          <w:color w:val="000000"/>
          <w:sz w:val="22"/>
        </w:rPr>
        <w:t>All Introductions must follow the steps below. An Introduction that does not comply with these steps shall not give rise to any Commission entitlement.</w:t>
      </w:r>
    </w:p>
    <w:p/>
    <w:p>
      <w:pPr>
        <w:spacing w:before="80" w:after="80"/>
      </w:pPr>
      <w:r>
        <w:rPr>
          <w:b/>
          <w:color w:val="1A365D"/>
          <w:sz w:val="22"/>
        </w:rPr>
        <w:t xml:space="preserve">Step 1 — Submit Introduction by Email:  </w:t>
      </w:r>
      <w:r>
        <w:rPr>
          <w:sz w:val="22"/>
        </w:rPr>
        <w:t>The Introducer sends an email to office@lighthief.com with the subject line “New Introducer Registration”. The email must include: (a) the full legal name of the prospective client or company; (b) a partial telephone number (country code + at minimum the first 4–6 digits of the subscriber number); and (c) any other contextual information available (country, sector, project type). No telephone number format or email address alone is sufficient — both name and partial number are required to register.</w:t>
      </w:r>
    </w:p>
    <w:p/>
    <w:p>
      <w:pPr>
        <w:spacing w:before="80" w:after="80"/>
      </w:pPr>
      <w:r>
        <w:rPr>
          <w:b/>
          <w:color w:val="1A365D"/>
          <w:sz w:val="22"/>
        </w:rPr>
        <w:t xml:space="preserve">Step 2 — Registration Confirmation (5 Working Days):  </w:t>
      </w:r>
      <w:r>
        <w:rPr>
          <w:sz w:val="22"/>
        </w:rPr>
        <w:t>The Principal shall issue a Registration Confirmation within five (5) Working Days of receiving the Introduction email. The confirmation will state either: (i) “New Registration Confirmed” — the prospective client is not in the Principal’s active pipeline and the Protection Period commences from the confirmation date; or (ii) “Existing Contact — No Commission” — the prospective client is already engaged by the Principal, and no Commission entitlement arises. If the Principal fails to issue a Registration Confirmation within five (5) Working Days, the Introduction shall be deemed confirmed as a New Registration.</w:t>
      </w:r>
    </w:p>
    <w:p/>
    <w:p>
      <w:pPr>
        <w:spacing w:before="80" w:after="80"/>
      </w:pPr>
      <w:r>
        <w:rPr>
          <w:b/>
          <w:color w:val="1A365D"/>
          <w:sz w:val="22"/>
        </w:rPr>
        <w:t xml:space="preserve">Step 3 — No Direct Contact Before Confirmation:  </w:t>
      </w:r>
      <w:r>
        <w:rPr>
          <w:sz w:val="22"/>
        </w:rPr>
        <w:t>The Principal shall not initiate or establish any direct contact with the introduced prospective client until a Registration Confirmation has been issued under Step 2. If the Principal independently contacts the same prospective client within five (5) Working Days of receipt of the Introduction email and before issuing the Registration Confirmation, the Introduction shall be deemed a New Registration.</w:t>
      </w:r>
    </w:p>
    <w:p/>
    <w:p>
      <w:pPr>
        <w:spacing w:before="80" w:after="80"/>
      </w:pPr>
      <w:r>
        <w:rPr>
          <w:b/>
          <w:color w:val="1A365D"/>
          <w:sz w:val="22"/>
        </w:rPr>
        <w:t xml:space="preserve">Step 4 — Facilitated Introduction:  </w:t>
      </w:r>
      <w:r>
        <w:rPr>
          <w:sz w:val="22"/>
        </w:rPr>
        <w:t>Following a New Registration Confirmation, the Introducer may, at the Principal’s request, facilitate an introductory meeting, call, or written introduction between the prospective client and the Principal. The Introducer is not required to manage or participate in subsequent commercial negotiations.</w:t>
      </w:r>
    </w:p>
    <w:p/>
    <w:p>
      <w:pPr>
        <w:spacing w:before="80" w:after="80"/>
      </w:pPr>
      <w:r>
        <w:rPr>
          <w:b/>
          <w:color w:val="1A365D"/>
          <w:sz w:val="22"/>
        </w:rPr>
        <w:t xml:space="preserve">Step 5 — Commission Trigger:  </w:t>
      </w:r>
      <w:r>
        <w:rPr>
          <w:sz w:val="22"/>
        </w:rPr>
        <w:t>Commission becomes payable upon execution of a Client Contract between the Principal and the Introduced Client within the Protection Period, in accordance with Clause 6.</w:t>
      </w:r>
    </w:p>
    <w:p/>
    <w:p>
      <w:pPr>
        <w:pStyle w:val="Heading1"/>
        <w:jc w:val="left"/>
      </w:pPr>
      <w:r>
        <w:rPr>
          <w:b/>
          <w:color w:val="C9A432"/>
          <w:sz w:val="28"/>
        </w:rPr>
        <w:t>6.  COMMISSION</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Commission Term</w:t>
            </w:r>
          </w:p>
        </w:tc>
        <w:tc>
          <w:tcPr>
            <w:tcW w:type="dxa" w:w="4419"/>
            <w:shd w:val="clear" w:color="auto" w:fill="1A365D"/>
          </w:tcPr>
          <w:p>
            <w:r>
              <w:rPr>
                <w:b/>
                <w:color w:val="FFFFFF"/>
                <w:sz w:val="20"/>
              </w:rPr>
              <w:t>Detail</w:t>
            </w:r>
          </w:p>
        </w:tc>
      </w:tr>
      <w:tr>
        <w:tc>
          <w:tcPr>
            <w:tcW w:type="dxa" w:w="4419"/>
          </w:tcPr>
          <w:p>
            <w:r>
              <w:rPr>
                <w:b/>
                <w:sz w:val="20"/>
              </w:rPr>
              <w:t>Commission Rate</w:t>
            </w:r>
          </w:p>
        </w:tc>
        <w:tc>
          <w:tcPr>
            <w:tcW w:type="dxa" w:w="4419"/>
          </w:tcPr>
          <w:p>
            <w:r>
              <w:rPr>
                <w:color w:val="000000"/>
                <w:sz w:val="20"/>
              </w:rPr>
              <w:t>3.0% (three per cent) of Contract Value</w:t>
            </w:r>
          </w:p>
        </w:tc>
      </w:tr>
      <w:tr>
        <w:tc>
          <w:tcPr>
            <w:tcW w:type="dxa" w:w="4419"/>
          </w:tcPr>
          <w:p>
            <w:r>
              <w:rPr>
                <w:b/>
                <w:sz w:val="20"/>
              </w:rPr>
              <w:t>Basis</w:t>
            </w:r>
          </w:p>
        </w:tc>
        <w:tc>
          <w:tcPr>
            <w:tcW w:type="dxa" w:w="4419"/>
          </w:tcPr>
          <w:p>
            <w:r>
              <w:rPr>
                <w:color w:val="000000"/>
                <w:sz w:val="20"/>
              </w:rPr>
              <w:t>Net Contract Value excluding VAT, as stated in the signed Client Contract</w:t>
            </w:r>
          </w:p>
        </w:tc>
      </w:tr>
      <w:tr>
        <w:tc>
          <w:tcPr>
            <w:tcW w:type="dxa" w:w="4419"/>
          </w:tcPr>
          <w:p>
            <w:r>
              <w:rPr>
                <w:b/>
                <w:sz w:val="20"/>
              </w:rPr>
              <w:t>Scope</w:t>
            </w:r>
          </w:p>
        </w:tc>
        <w:tc>
          <w:tcPr>
            <w:tcW w:type="dxa" w:w="4419"/>
          </w:tcPr>
          <w:p>
            <w:r>
              <w:rPr>
                <w:color w:val="000000"/>
                <w:sz w:val="20"/>
              </w:rPr>
              <w:t>Applies to all Services, all jurisdictions, with no geographic or product-category limitation</w:t>
            </w:r>
          </w:p>
        </w:tc>
      </w:tr>
      <w:tr>
        <w:tc>
          <w:tcPr>
            <w:tcW w:type="dxa" w:w="4419"/>
          </w:tcPr>
          <w:p>
            <w:r>
              <w:rPr>
                <w:b/>
                <w:sz w:val="20"/>
              </w:rPr>
              <w:t>Multiple Contracts</w:t>
            </w:r>
          </w:p>
        </w:tc>
        <w:tc>
          <w:tcPr>
            <w:tcW w:type="dxa" w:w="4419"/>
          </w:tcPr>
          <w:p>
            <w:r>
              <w:rPr>
                <w:color w:val="000000"/>
                <w:sz w:val="20"/>
              </w:rPr>
              <w:t>Where the Introduced Client signs Client Contracts for multiple projects, a separate Commission is calculated on each individual Contract Value</w:t>
            </w:r>
          </w:p>
        </w:tc>
      </w:tr>
      <w:tr>
        <w:tc>
          <w:tcPr>
            <w:tcW w:type="dxa" w:w="4419"/>
          </w:tcPr>
          <w:p>
            <w:r>
              <w:rPr>
                <w:b/>
                <w:sz w:val="20"/>
              </w:rPr>
              <w:t>Variations</w:t>
            </w:r>
          </w:p>
        </w:tc>
        <w:tc>
          <w:tcPr>
            <w:tcW w:type="dxa" w:w="4419"/>
          </w:tcPr>
          <w:p>
            <w:r>
              <w:rPr>
                <w:color w:val="000000"/>
                <w:sz w:val="20"/>
              </w:rPr>
              <w:t>If the final Contract Value increases via a signed variation order, Commission on the additional amount follows the same 3.0% rate</w:t>
            </w:r>
          </w:p>
        </w:tc>
      </w:tr>
      <w:tr>
        <w:tc>
          <w:tcPr>
            <w:tcW w:type="dxa" w:w="4419"/>
          </w:tcPr>
          <w:p>
            <w:r>
              <w:rPr>
                <w:b/>
                <w:sz w:val="20"/>
              </w:rPr>
              <w:t>Large Contracts</w:t>
            </w:r>
          </w:p>
        </w:tc>
        <w:tc>
          <w:tcPr>
            <w:tcW w:type="dxa" w:w="4419"/>
          </w:tcPr>
          <w:p>
            <w:r>
              <w:rPr>
                <w:color w:val="000000"/>
                <w:sz w:val="20"/>
              </w:rPr>
              <w:t>For any single Client Contract Value exceeding €10,000,000, the Commission on the portion above €10,000,000 shall be agreed in writing between the Parties before execution of that contract</w:t>
            </w:r>
          </w:p>
        </w:tc>
      </w:tr>
    </w:tbl>
    <w:p/>
    <w:p>
      <w:pPr>
        <w:pStyle w:val="Heading1"/>
        <w:jc w:val="left"/>
      </w:pPr>
      <w:r>
        <w:rPr>
          <w:b/>
          <w:color w:val="C9A432"/>
          <w:sz w:val="28"/>
        </w:rPr>
        <w:t>7.  PAYMENT TERMS</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Milestone</w:t>
            </w:r>
          </w:p>
        </w:tc>
        <w:tc>
          <w:tcPr>
            <w:tcW w:type="dxa" w:w="4419"/>
            <w:shd w:val="clear" w:color="auto" w:fill="1A365D"/>
          </w:tcPr>
          <w:p>
            <w:r>
              <w:rPr>
                <w:b/>
                <w:color w:val="FFFFFF"/>
                <w:sz w:val="20"/>
              </w:rPr>
              <w:t>Detail</w:t>
            </w:r>
          </w:p>
        </w:tc>
      </w:tr>
      <w:tr>
        <w:tc>
          <w:tcPr>
            <w:tcW w:type="dxa" w:w="4419"/>
          </w:tcPr>
          <w:p>
            <w:r>
              <w:rPr>
                <w:b/>
                <w:sz w:val="20"/>
              </w:rPr>
              <w:t>Instalment 1 — 30% of Commission</w:t>
            </w:r>
          </w:p>
        </w:tc>
        <w:tc>
          <w:tcPr>
            <w:tcW w:type="dxa" w:w="4419"/>
          </w:tcPr>
          <w:p>
            <w:r>
              <w:rPr>
                <w:color w:val="000000"/>
                <w:sz w:val="20"/>
              </w:rPr>
              <w:t>Invoiced and payable within 30 days of the Principal receiving the Introduced Client’s advance payment under the Client Contract</w:t>
            </w:r>
          </w:p>
        </w:tc>
      </w:tr>
      <w:tr>
        <w:tc>
          <w:tcPr>
            <w:tcW w:type="dxa" w:w="4419"/>
          </w:tcPr>
          <w:p>
            <w:r>
              <w:rPr>
                <w:b/>
                <w:sz w:val="20"/>
              </w:rPr>
              <w:t>Instalment 2 — 70% of Commission</w:t>
            </w:r>
          </w:p>
        </w:tc>
        <w:tc>
          <w:tcPr>
            <w:tcW w:type="dxa" w:w="4419"/>
          </w:tcPr>
          <w:p>
            <w:r>
              <w:rPr>
                <w:color w:val="000000"/>
                <w:sz w:val="20"/>
              </w:rPr>
              <w:t>Invoiced and payable within 30 days of the Principal receiving the Introduced Client’s final payment under the Client Contract</w:t>
            </w:r>
          </w:p>
        </w:tc>
      </w:tr>
      <w:tr>
        <w:tc>
          <w:tcPr>
            <w:tcW w:type="dxa" w:w="4419"/>
          </w:tcPr>
          <w:p>
            <w:r>
              <w:rPr>
                <w:b/>
                <w:sz w:val="20"/>
              </w:rPr>
              <w:t>Payment Method</w:t>
            </w:r>
          </w:p>
        </w:tc>
        <w:tc>
          <w:tcPr>
            <w:tcW w:type="dxa" w:w="4419"/>
          </w:tcPr>
          <w:p>
            <w:r>
              <w:rPr>
                <w:color w:val="000000"/>
                <w:sz w:val="20"/>
              </w:rPr>
              <w:t>Bank transfer to the Introducer’s designated account (details in Schedule B)</w:t>
            </w:r>
          </w:p>
        </w:tc>
      </w:tr>
      <w:tr>
        <w:tc>
          <w:tcPr>
            <w:tcW w:type="dxa" w:w="4419"/>
          </w:tcPr>
          <w:p>
            <w:r>
              <w:rPr>
                <w:b/>
                <w:sz w:val="20"/>
              </w:rPr>
              <w:t>Currency</w:t>
            </w:r>
          </w:p>
        </w:tc>
        <w:tc>
          <w:tcPr>
            <w:tcW w:type="dxa" w:w="4419"/>
          </w:tcPr>
          <w:p>
            <w:r>
              <w:rPr>
                <w:color w:val="000000"/>
                <w:sz w:val="20"/>
              </w:rPr>
              <w:t>Euro (€). Where the Client Contract is denominated in another currency, Commission is converted at the ECB mid-rate on the date the triggering payment is received by the Principal.</w:t>
            </w:r>
          </w:p>
        </w:tc>
      </w:tr>
      <w:tr>
        <w:tc>
          <w:tcPr>
            <w:tcW w:type="dxa" w:w="4419"/>
          </w:tcPr>
          <w:p>
            <w:r>
              <w:rPr>
                <w:b/>
                <w:sz w:val="20"/>
              </w:rPr>
              <w:t>Late Payment Interest</w:t>
            </w:r>
          </w:p>
        </w:tc>
        <w:tc>
          <w:tcPr>
            <w:tcW w:type="dxa" w:w="4419"/>
          </w:tcPr>
          <w:p>
            <w:r>
              <w:rPr>
                <w:color w:val="000000"/>
                <w:sz w:val="20"/>
              </w:rPr>
              <w:t>2% per month on overdue amounts, accruing from the due date</w:t>
            </w:r>
          </w:p>
        </w:tc>
      </w:tr>
    </w:tbl>
    <w:p/>
    <w:p>
      <w:r>
        <w:rPr>
          <w:rFonts w:ascii="Calibri" w:hAnsi="Calibri"/>
          <w:b w:val="0"/>
          <w:i/>
          <w:color w:val="404040"/>
          <w:sz w:val="22"/>
        </w:rPr>
        <w:t>No Commission is payable if the Introduced Client cancels the Client Contract before final payment, or if any partial payment already received from the Introduced Client is refunded by the Principal. Instalment 1 already paid shall be credited against future Commissions from the same Introducer.</w:t>
      </w:r>
    </w:p>
    <w:p/>
    <w:p>
      <w:pPr>
        <w:pStyle w:val="Heading1"/>
        <w:jc w:val="left"/>
      </w:pPr>
      <w:r>
        <w:rPr>
          <w:b/>
          <w:color w:val="C9A432"/>
          <w:sz w:val="28"/>
        </w:rPr>
        <w:t>8.  PROTECTION PERIOD &amp; COMMISSION ENTITLEMENT</w:t>
      </w:r>
    </w:p>
    <w:p>
      <w:pPr>
        <w:spacing w:before="80" w:after="80"/>
        <w:ind w:left="0"/>
      </w:pPr>
      <w:r>
        <w:rPr>
          <w:b/>
          <w:color w:val="000000"/>
          <w:sz w:val="22"/>
        </w:rPr>
        <w:t xml:space="preserve">8.1.  </w:t>
      </w:r>
      <w:r>
        <w:rPr>
          <w:b/>
          <w:color w:val="000000"/>
          <w:sz w:val="22"/>
          <w:u w:val="single"/>
        </w:rPr>
        <w:t xml:space="preserve">Duration.  </w:t>
      </w:r>
      <w:r>
        <w:rPr>
          <w:color w:val="000000"/>
          <w:sz w:val="22"/>
        </w:rPr>
        <w:t>A New Registration Confirmation triggers a Protection Period of twelve (12) calendar months from the confirmation date. If the Introduced Client signs a Client Contract within this period, Commission is payable at the rate in Clause 6.</w:t>
      </w:r>
    </w:p>
    <w:p>
      <w:pPr>
        <w:spacing w:before="80" w:after="80"/>
        <w:ind w:left="0"/>
      </w:pPr>
      <w:r>
        <w:rPr>
          <w:b/>
          <w:color w:val="000000"/>
          <w:sz w:val="22"/>
        </w:rPr>
        <w:t xml:space="preserve">8.2.  </w:t>
      </w:r>
      <w:r>
        <w:rPr>
          <w:b/>
          <w:color w:val="000000"/>
          <w:sz w:val="22"/>
          <w:u w:val="single"/>
        </w:rPr>
        <w:t xml:space="preserve">Extension.  </w:t>
      </w:r>
      <w:r>
        <w:rPr>
          <w:color w:val="000000"/>
          <w:sz w:val="22"/>
        </w:rPr>
        <w:t>The Protection Period may be extended by mutual written agreement if the Introduced Client is actively engaged in contract negotiation at the expiry date.</w:t>
      </w:r>
    </w:p>
    <w:p>
      <w:pPr>
        <w:spacing w:before="80" w:after="80"/>
        <w:ind w:left="0"/>
      </w:pPr>
      <w:r>
        <w:rPr>
          <w:b/>
          <w:color w:val="000000"/>
          <w:sz w:val="22"/>
        </w:rPr>
        <w:t xml:space="preserve">8.3.  </w:t>
      </w:r>
      <w:r>
        <w:rPr>
          <w:b/>
          <w:color w:val="000000"/>
          <w:sz w:val="22"/>
          <w:u w:val="single"/>
        </w:rPr>
        <w:t xml:space="preserve">Existing Contacts.  </w:t>
      </w:r>
      <w:r>
        <w:rPr>
          <w:color w:val="000000"/>
          <w:sz w:val="22"/>
        </w:rPr>
        <w:t>No Commission is payable where the Registration Confirmation states “Existing Contact”, provided such confirmation is issued within the five (5) Working Day window under Clause 5 Step 2.</w:t>
      </w:r>
    </w:p>
    <w:p>
      <w:pPr>
        <w:spacing w:before="80" w:after="80"/>
        <w:ind w:left="0"/>
      </w:pPr>
      <w:r>
        <w:rPr>
          <w:b/>
          <w:color w:val="000000"/>
          <w:sz w:val="22"/>
        </w:rPr>
        <w:t xml:space="preserve">8.4.  </w:t>
      </w:r>
      <w:r>
        <w:rPr>
          <w:b/>
          <w:color w:val="000000"/>
          <w:sz w:val="22"/>
          <w:u w:val="single"/>
        </w:rPr>
        <w:t xml:space="preserve">Failure to Confirm.  </w:t>
      </w:r>
      <w:r>
        <w:rPr>
          <w:color w:val="000000"/>
          <w:sz w:val="22"/>
        </w:rPr>
        <w:t>If the Principal fails to issue any Registration Confirmation within five (5) Working Days of receiving a valid Introduction email, the introduced prospective client shall be deemed a New Registration and the Protection Period shall commence from the sixth Working Day after receipt of the Introduction.</w:t>
      </w:r>
    </w:p>
    <w:p>
      <w:pPr>
        <w:spacing w:before="80" w:after="80"/>
        <w:ind w:left="0"/>
      </w:pPr>
      <w:r>
        <w:rPr>
          <w:b/>
          <w:color w:val="000000"/>
          <w:sz w:val="22"/>
        </w:rPr>
        <w:t xml:space="preserve">8.5.  </w:t>
      </w:r>
      <w:r>
        <w:rPr>
          <w:b/>
          <w:color w:val="000000"/>
          <w:sz w:val="22"/>
          <w:u w:val="single"/>
        </w:rPr>
        <w:t xml:space="preserve">No Contact Before Confirmation.  </w:t>
      </w:r>
      <w:r>
        <w:rPr>
          <w:color w:val="000000"/>
          <w:sz w:val="22"/>
        </w:rPr>
        <w:t>Any direct commercial contact established by the Principal with the introduced prospective client before a Registration Confirmation is issued shall not extinguish the Introducer’s Commission entitlement. Such contact shall be treated as if a New Registration had been confirmed.</w:t>
      </w:r>
    </w:p>
    <w:p/>
    <w:p>
      <w:pPr>
        <w:pStyle w:val="Heading1"/>
        <w:jc w:val="left"/>
      </w:pPr>
      <w:r>
        <w:rPr>
          <w:b/>
          <w:color w:val="C9A432"/>
          <w:sz w:val="28"/>
        </w:rPr>
        <w:t>9.  OBLIGATIONS OF THE INTRODUCER</w:t>
      </w:r>
    </w:p>
    <w:p>
      <w:pPr>
        <w:spacing w:before="80" w:after="80"/>
        <w:ind w:left="0"/>
      </w:pPr>
      <w:r>
        <w:rPr>
          <w:b/>
          <w:color w:val="000000"/>
          <w:sz w:val="22"/>
        </w:rPr>
        <w:t xml:space="preserve">9.1.  </w:t>
      </w:r>
      <w:r>
        <w:rPr>
          <w:b/>
          <w:color w:val="000000"/>
          <w:sz w:val="22"/>
          <w:u w:val="single"/>
        </w:rPr>
        <w:t xml:space="preserve">Accuracy.  </w:t>
      </w:r>
      <w:r>
        <w:rPr>
          <w:color w:val="000000"/>
          <w:sz w:val="22"/>
        </w:rPr>
        <w:t>The Introducer shall provide accurate and complete information in each Introduction email, including the required name and partial telephone number.</w:t>
      </w:r>
    </w:p>
    <w:p>
      <w:pPr>
        <w:spacing w:before="80" w:after="80"/>
        <w:ind w:left="0"/>
      </w:pPr>
      <w:r>
        <w:rPr>
          <w:b/>
          <w:color w:val="000000"/>
          <w:sz w:val="22"/>
        </w:rPr>
        <w:t xml:space="preserve">9.2.  </w:t>
      </w:r>
      <w:r>
        <w:rPr>
          <w:b/>
          <w:color w:val="000000"/>
          <w:sz w:val="22"/>
          <w:u w:val="single"/>
        </w:rPr>
        <w:t xml:space="preserve">No Misrepresentation.  </w:t>
      </w:r>
      <w:r>
        <w:rPr>
          <w:color w:val="000000"/>
          <w:sz w:val="22"/>
        </w:rPr>
        <w:t>The Introducer shall not make any false, misleading, or unauthorised representations about the Principal, its products, pricing, or capabilities.</w:t>
      </w:r>
    </w:p>
    <w:p>
      <w:pPr>
        <w:spacing w:before="80" w:after="80"/>
        <w:ind w:left="0"/>
      </w:pPr>
      <w:r>
        <w:rPr>
          <w:b/>
          <w:color w:val="000000"/>
          <w:sz w:val="22"/>
        </w:rPr>
        <w:t xml:space="preserve">9.3.  </w:t>
      </w:r>
      <w:r>
        <w:rPr>
          <w:b/>
          <w:color w:val="000000"/>
          <w:sz w:val="22"/>
          <w:u w:val="single"/>
        </w:rPr>
        <w:t xml:space="preserve">No Pricing Disclosure.  </w:t>
      </w:r>
      <w:r>
        <w:rPr>
          <w:color w:val="000000"/>
          <w:sz w:val="22"/>
        </w:rPr>
        <w:t>The Introducer shall not disclose or discuss specific pricing, margins, or commercial terms with any prospective client unless expressly authorised in writing by the Principal.</w:t>
      </w:r>
    </w:p>
    <w:p>
      <w:pPr>
        <w:spacing w:before="80" w:after="80"/>
        <w:ind w:left="0"/>
      </w:pPr>
      <w:r>
        <w:rPr>
          <w:b/>
          <w:color w:val="000000"/>
          <w:sz w:val="22"/>
        </w:rPr>
        <w:t xml:space="preserve">9.4.  </w:t>
      </w:r>
      <w:r>
        <w:rPr>
          <w:b/>
          <w:color w:val="000000"/>
          <w:sz w:val="22"/>
          <w:u w:val="single"/>
        </w:rPr>
        <w:t xml:space="preserve">Compliance.  </w:t>
      </w:r>
      <w:r>
        <w:rPr>
          <w:color w:val="000000"/>
          <w:sz w:val="22"/>
        </w:rPr>
        <w:t>The Introducer shall at all times comply with all applicable laws and professional regulations, including anti-bribery, anti-corruption, and data protection legislation in all relevant jurisdictions.</w:t>
      </w:r>
    </w:p>
    <w:p>
      <w:pPr>
        <w:spacing w:before="80" w:after="80"/>
        <w:ind w:left="0"/>
      </w:pPr>
      <w:r>
        <w:rPr>
          <w:b/>
          <w:color w:val="000000"/>
          <w:sz w:val="22"/>
        </w:rPr>
        <w:t xml:space="preserve">9.5.  </w:t>
      </w:r>
      <w:r>
        <w:rPr>
          <w:b/>
          <w:color w:val="000000"/>
          <w:sz w:val="22"/>
          <w:u w:val="single"/>
        </w:rPr>
        <w:t xml:space="preserve">Conflict of Interest.  </w:t>
      </w:r>
      <w:r>
        <w:rPr>
          <w:color w:val="000000"/>
          <w:sz w:val="22"/>
        </w:rPr>
        <w:t>The Introducer shall immediately disclose to the Principal any actual or potential conflict of interest in relation to any introduced prospective client.</w:t>
      </w:r>
    </w:p>
    <w:p/>
    <w:p>
      <w:pPr>
        <w:pStyle w:val="Heading1"/>
        <w:jc w:val="left"/>
      </w:pPr>
      <w:r>
        <w:rPr>
          <w:b/>
          <w:color w:val="C9A432"/>
          <w:sz w:val="28"/>
        </w:rPr>
        <w:t>10.  OBLIGATIONS OF THE PRINCIPAL</w:t>
      </w:r>
    </w:p>
    <w:p>
      <w:pPr>
        <w:spacing w:before="80" w:after="80"/>
        <w:ind w:left="0"/>
      </w:pPr>
      <w:r>
        <w:rPr>
          <w:b/>
          <w:color w:val="000000"/>
          <w:sz w:val="22"/>
        </w:rPr>
        <w:t xml:space="preserve">10.1.  </w:t>
      </w:r>
      <w:r>
        <w:rPr>
          <w:b/>
          <w:color w:val="000000"/>
          <w:sz w:val="22"/>
          <w:u w:val="single"/>
        </w:rPr>
        <w:t xml:space="preserve">Timely Response.  </w:t>
      </w:r>
      <w:r>
        <w:rPr>
          <w:color w:val="000000"/>
          <w:sz w:val="22"/>
        </w:rPr>
        <w:t>The Principal shall respond to each Introduction email sent to office@lighthief.com within five (5) Working Days with a Registration Confirmation.</w:t>
      </w:r>
    </w:p>
    <w:p>
      <w:pPr>
        <w:spacing w:before="80" w:after="80"/>
        <w:ind w:left="0"/>
      </w:pPr>
      <w:r>
        <w:rPr>
          <w:b/>
          <w:color w:val="000000"/>
          <w:sz w:val="22"/>
        </w:rPr>
        <w:t xml:space="preserve">10.2.  </w:t>
      </w:r>
      <w:r>
        <w:rPr>
          <w:b/>
          <w:color w:val="000000"/>
          <w:sz w:val="22"/>
          <w:u w:val="single"/>
        </w:rPr>
        <w:t xml:space="preserve">No Direct Contact Before Confirmation.  </w:t>
      </w:r>
      <w:r>
        <w:rPr>
          <w:color w:val="000000"/>
          <w:sz w:val="22"/>
        </w:rPr>
        <w:t>The Principal shall not initiate direct commercial contact with a prospective client identified in an Introduction email until a Registration Confirmation has been issued.</w:t>
      </w:r>
    </w:p>
    <w:p>
      <w:pPr>
        <w:spacing w:before="80" w:after="80"/>
        <w:ind w:left="0"/>
      </w:pPr>
      <w:r>
        <w:rPr>
          <w:b/>
          <w:color w:val="000000"/>
          <w:sz w:val="22"/>
        </w:rPr>
        <w:t xml:space="preserve">10.3.  </w:t>
      </w:r>
      <w:r>
        <w:rPr>
          <w:b/>
          <w:color w:val="000000"/>
          <w:sz w:val="22"/>
          <w:u w:val="single"/>
        </w:rPr>
        <w:t xml:space="preserve">Commission Payment.  </w:t>
      </w:r>
      <w:r>
        <w:rPr>
          <w:color w:val="000000"/>
          <w:sz w:val="22"/>
        </w:rPr>
        <w:t>The Principal shall pay Commission in accordance with Clause 7 and shall provide the Introducer with written notification of each triggered Commission event within ten (10) Working Days of the triggering payment being received.</w:t>
      </w:r>
    </w:p>
    <w:p>
      <w:pPr>
        <w:spacing w:before="80" w:after="80"/>
        <w:ind w:left="0"/>
      </w:pPr>
      <w:r>
        <w:rPr>
          <w:b/>
          <w:color w:val="000000"/>
          <w:sz w:val="22"/>
        </w:rPr>
        <w:t xml:space="preserve">10.4.  </w:t>
      </w:r>
      <w:r>
        <w:rPr>
          <w:b/>
          <w:color w:val="000000"/>
          <w:sz w:val="22"/>
          <w:u w:val="single"/>
        </w:rPr>
        <w:t xml:space="preserve">Records.  </w:t>
      </w:r>
      <w:r>
        <w:rPr>
          <w:color w:val="000000"/>
          <w:sz w:val="22"/>
        </w:rPr>
        <w:t>The Principal shall maintain accurate records of all Introductions, Registration Confirmations, Client Contracts, and Commission payments for the duration of this Agreement plus three (3) years, and shall make such records available to the Introducer on reasonable written request.</w:t>
      </w:r>
    </w:p>
    <w:p/>
    <w:p>
      <w:pPr>
        <w:pStyle w:val="Heading1"/>
        <w:jc w:val="left"/>
      </w:pPr>
      <w:r>
        <w:rPr>
          <w:b/>
          <w:color w:val="C9A432"/>
          <w:sz w:val="28"/>
        </w:rPr>
        <w:t>11.  CONFIDENTIALITY</w:t>
      </w:r>
    </w:p>
    <w:p>
      <w:r>
        <w:rPr>
          <w:rFonts w:ascii="Calibri" w:hAnsi="Calibri"/>
          <w:b w:val="0"/>
          <w:i w:val="0"/>
          <w:color w:val="000000"/>
          <w:sz w:val="22"/>
        </w:rPr>
        <w:t>11.1  Each Party shall treat as strictly confidential all information received from the other Party in connection with this Agreement, including commission rates, client identities, Introduction details, technical specifications, and business strategies (“Confidential Information”).</w:t>
      </w:r>
    </w:p>
    <w:p/>
    <w:p>
      <w:r>
        <w:rPr>
          <w:rFonts w:ascii="Calibri" w:hAnsi="Calibri"/>
          <w:b w:val="0"/>
          <w:i w:val="0"/>
          <w:color w:val="000000"/>
          <w:sz w:val="22"/>
        </w:rPr>
        <w:t>11.2  Neither Party shall disclose Confidential Information to any third party without the prior written consent of the disclosing Party, except to professional advisers bound by equivalent confidentiality obligations.</w:t>
      </w:r>
    </w:p>
    <w:p/>
    <w:p>
      <w:r>
        <w:rPr>
          <w:rFonts w:ascii="Calibri" w:hAnsi="Calibri"/>
          <w:b w:val="0"/>
          <w:i w:val="0"/>
          <w:color w:val="000000"/>
          <w:sz w:val="22"/>
        </w:rPr>
        <w:t>11.3  This obligation of confidentiality survives termination of this Agreement for a period of three (3) years.</w:t>
      </w:r>
    </w:p>
    <w:p/>
    <w:p>
      <w:pPr>
        <w:pStyle w:val="Heading1"/>
        <w:jc w:val="left"/>
      </w:pPr>
      <w:r>
        <w:rPr>
          <w:b/>
          <w:color w:val="C9A432"/>
          <w:sz w:val="28"/>
        </w:rPr>
        <w:t>12.  TERM &amp; TERMINATION</w:t>
      </w:r>
    </w:p>
    <w:p>
      <w:pPr>
        <w:spacing w:before="80" w:after="80"/>
        <w:ind w:left="0"/>
      </w:pPr>
      <w:r>
        <w:rPr>
          <w:b/>
          <w:color w:val="000000"/>
          <w:sz w:val="22"/>
        </w:rPr>
        <w:t xml:space="preserve">12.1.  </w:t>
      </w:r>
      <w:r>
        <w:rPr>
          <w:b/>
          <w:color w:val="000000"/>
          <w:sz w:val="22"/>
          <w:u w:val="single"/>
        </w:rPr>
        <w:t xml:space="preserve">Term.  </w:t>
      </w:r>
      <w:r>
        <w:rPr>
          <w:color w:val="000000"/>
          <w:sz w:val="22"/>
        </w:rPr>
        <w:t>This Agreement commences on the date of last signature and continues for a period of twenty-four (24) months, unless terminated earlier in accordance with this clause.</w:t>
      </w:r>
    </w:p>
    <w:p>
      <w:pPr>
        <w:spacing w:before="80" w:after="80"/>
        <w:ind w:left="0"/>
      </w:pPr>
      <w:r>
        <w:rPr>
          <w:b/>
          <w:color w:val="000000"/>
          <w:sz w:val="22"/>
        </w:rPr>
        <w:t xml:space="preserve">12.2.  </w:t>
      </w:r>
      <w:r>
        <w:rPr>
          <w:b/>
          <w:color w:val="000000"/>
          <w:sz w:val="22"/>
          <w:u w:val="single"/>
        </w:rPr>
        <w:t xml:space="preserve">Renewal.  </w:t>
      </w:r>
      <w:r>
        <w:rPr>
          <w:color w:val="000000"/>
          <w:sz w:val="22"/>
        </w:rPr>
        <w:t>The Agreement shall automatically renew for successive twelve (12) month periods unless either Party gives thirty (30) days written notice of non-renewal before the end of the then-current term.</w:t>
      </w:r>
    </w:p>
    <w:p>
      <w:pPr>
        <w:spacing w:before="80" w:after="80"/>
        <w:ind w:left="0"/>
      </w:pPr>
      <w:r>
        <w:rPr>
          <w:b/>
          <w:color w:val="000000"/>
          <w:sz w:val="22"/>
        </w:rPr>
        <w:t xml:space="preserve">12.3.  </w:t>
      </w:r>
      <w:r>
        <w:rPr>
          <w:b/>
          <w:color w:val="000000"/>
          <w:sz w:val="22"/>
          <w:u w:val="single"/>
        </w:rPr>
        <w:t xml:space="preserve">Termination for Convenience.  </w:t>
      </w:r>
      <w:r>
        <w:rPr>
          <w:color w:val="000000"/>
          <w:sz w:val="22"/>
        </w:rPr>
        <w:t>Either Party may terminate this Agreement for convenience on thirty (30) days written notice. Commission entitlement for Introductions already confirmed as New Registrations before the termination notice date is preserved for the remainder of the relevant Protection Period.</w:t>
      </w:r>
    </w:p>
    <w:p>
      <w:pPr>
        <w:spacing w:before="80" w:after="80"/>
        <w:ind w:left="0"/>
      </w:pPr>
      <w:r>
        <w:rPr>
          <w:b/>
          <w:color w:val="000000"/>
          <w:sz w:val="22"/>
        </w:rPr>
        <w:t xml:space="preserve">12.4.  </w:t>
      </w:r>
      <w:r>
        <w:rPr>
          <w:b/>
          <w:color w:val="000000"/>
          <w:sz w:val="22"/>
          <w:u w:val="single"/>
        </w:rPr>
        <w:t xml:space="preserve">Termination for Cause.  </w:t>
      </w:r>
      <w:r>
        <w:rPr>
          <w:color w:val="000000"/>
          <w:sz w:val="22"/>
        </w:rPr>
        <w:t>The Principal may terminate immediately on written notice if the Introducer: (a) breaches Clause 9 or 11; (b) is found to have engaged in fraudulent, corrupt, or illegal conduct; or (c) becomes insolvent. No Commission shall be payable following termination for cause in respect of any Introduction made after the breach.</w:t>
      </w:r>
    </w:p>
    <w:p/>
    <w:p>
      <w:pPr>
        <w:pStyle w:val="Heading1"/>
        <w:jc w:val="left"/>
      </w:pPr>
      <w:r>
        <w:rPr>
          <w:b/>
          <w:color w:val="C9A432"/>
          <w:sz w:val="28"/>
        </w:rPr>
        <w:t>13.  TAXES &amp; WITHHOLDING</w:t>
      </w:r>
    </w:p>
    <w:p>
      <w:r>
        <w:rPr>
          <w:rFonts w:ascii="Calibri" w:hAnsi="Calibri"/>
          <w:b w:val="0"/>
          <w:i w:val="0"/>
          <w:color w:val="000000"/>
          <w:sz w:val="22"/>
        </w:rPr>
        <w:t>13.1  Each Party is solely responsible for its own tax obligations arising from this Agreement. Commission amounts stated herein are exclusive of VAT or any equivalent indirect tax.</w:t>
      </w:r>
    </w:p>
    <w:p/>
    <w:p>
      <w:r>
        <w:rPr>
          <w:rFonts w:ascii="Calibri" w:hAnsi="Calibri"/>
          <w:b w:val="0"/>
          <w:i w:val="0"/>
          <w:color w:val="000000"/>
          <w:sz w:val="22"/>
        </w:rPr>
        <w:t>13.2  Where applicable under Cyprus law, the Principal may withhold tax at source from Commission payments and shall issue the requisite withholding tax certificates. The Introducer is responsible for declaring Commission income to the relevant tax authorities in its jurisdiction.</w:t>
      </w:r>
    </w:p>
    <w:p/>
    <w:p>
      <w:pPr>
        <w:pStyle w:val="Heading1"/>
        <w:jc w:val="left"/>
      </w:pPr>
      <w:r>
        <w:rPr>
          <w:b/>
          <w:color w:val="C9A432"/>
          <w:sz w:val="28"/>
        </w:rPr>
        <w:t>14.  LIMITATION OF LIABILITY</w:t>
      </w:r>
    </w:p>
    <w:p>
      <w:r>
        <w:rPr>
          <w:rFonts w:ascii="Calibri" w:hAnsi="Calibri"/>
          <w:b w:val="0"/>
          <w:i w:val="0"/>
          <w:color w:val="000000"/>
          <w:sz w:val="22"/>
        </w:rPr>
        <w:t>14.1  The Principal’s total liability to the Introducer under this Agreement shall not exceed the total Commission actually paid in the twelve (12) months preceding the relevant claim.</w:t>
      </w:r>
    </w:p>
    <w:p/>
    <w:p>
      <w:r>
        <w:rPr>
          <w:rFonts w:ascii="Calibri" w:hAnsi="Calibri"/>
          <w:b w:val="0"/>
          <w:i w:val="0"/>
          <w:color w:val="000000"/>
          <w:sz w:val="22"/>
        </w:rPr>
        <w:t>14.2  Neither Party shall be liable for indirect, consequential, or special loss, including lost profits or business opportunities, howsoever arising.</w:t>
      </w:r>
    </w:p>
    <w:p/>
    <w:p>
      <w:r>
        <w:rPr>
          <w:rFonts w:ascii="Calibri" w:hAnsi="Calibri"/>
          <w:b w:val="0"/>
          <w:i w:val="0"/>
          <w:color w:val="000000"/>
          <w:sz w:val="22"/>
        </w:rPr>
        <w:t>14.3  The Principal makes no warranty as to the commercial outcome of any proposal submitted to an Introduced Client, nor as to the acceptance of any quotation.</w:t>
      </w:r>
    </w:p>
    <w:p/>
    <w:p>
      <w:pPr>
        <w:pStyle w:val="Heading1"/>
        <w:jc w:val="left"/>
      </w:pPr>
      <w:r>
        <w:rPr>
          <w:b/>
          <w:color w:val="C9A432"/>
          <w:sz w:val="28"/>
        </w:rPr>
        <w:t>15.  GOVERNING LAW &amp; DISPUTE RESOLUTION</w:t>
      </w:r>
    </w:p>
    <w:p>
      <w:r>
        <w:rPr>
          <w:rFonts w:ascii="Calibri" w:hAnsi="Calibri"/>
          <w:b w:val="0"/>
          <w:i w:val="0"/>
          <w:color w:val="000000"/>
          <w:sz w:val="22"/>
        </w:rPr>
        <w:t>15.1  This Agreement is governed by, and construed in accordance with, the laws of the Republic of Cyprus.</w:t>
      </w:r>
    </w:p>
    <w:p/>
    <w:p>
      <w:r>
        <w:rPr>
          <w:rFonts w:ascii="Calibri" w:hAnsi="Calibri"/>
          <w:b w:val="0"/>
          <w:i w:val="0"/>
          <w:color w:val="000000"/>
          <w:sz w:val="22"/>
        </w:rPr>
        <w:t>15.2  The Parties shall endeavour to resolve any dispute amicably within twenty-one (21) days of written notice. Failing amicable resolution, disputes shall be subject to the exclusive jurisdiction of the courts of Limassol, Cyprus.</w:t>
      </w:r>
    </w:p>
    <w:p/>
    <w:p>
      <w:r>
        <w:rPr>
          <w:rFonts w:ascii="Calibri" w:hAnsi="Calibri"/>
          <w:b w:val="0"/>
          <w:i w:val="0"/>
          <w:color w:val="000000"/>
          <w:sz w:val="22"/>
        </w:rPr>
        <w:t>15.3  Any notice under this Agreement shall be in writing and delivered by email (with read receipt) or registered post to the addresses stated in Clause 1. Notices are effective on receipt.</w:t>
      </w:r>
    </w:p>
    <w:p/>
    <w:p>
      <w:pPr>
        <w:pStyle w:val="Heading1"/>
        <w:jc w:val="left"/>
      </w:pPr>
      <w:r>
        <w:rPr>
          <w:b/>
          <w:color w:val="C9A432"/>
          <w:sz w:val="28"/>
        </w:rPr>
        <w:t>16.  GENERAL</w:t>
      </w:r>
    </w:p>
    <w:p>
      <w:pPr>
        <w:spacing w:before="80" w:after="80"/>
        <w:ind w:left="0"/>
      </w:pPr>
      <w:r>
        <w:rPr>
          <w:b/>
          <w:color w:val="000000"/>
          <w:sz w:val="22"/>
        </w:rPr>
        <w:t xml:space="preserve">16.1.  </w:t>
      </w:r>
      <w:r>
        <w:rPr>
          <w:b/>
          <w:color w:val="000000"/>
          <w:sz w:val="22"/>
          <w:u w:val="single"/>
        </w:rPr>
        <w:t xml:space="preserve">Entire Agreement.  </w:t>
      </w:r>
      <w:r>
        <w:rPr>
          <w:color w:val="000000"/>
          <w:sz w:val="22"/>
        </w:rPr>
        <w:t>This Agreement, together with its Schedules, constitutes the entire agreement between the Parties relating to its subject matter and supersedes all prior discussions, representations, and arrangements.</w:t>
      </w:r>
    </w:p>
    <w:p>
      <w:pPr>
        <w:spacing w:before="80" w:after="80"/>
        <w:ind w:left="0"/>
      </w:pPr>
      <w:r>
        <w:rPr>
          <w:b/>
          <w:color w:val="000000"/>
          <w:sz w:val="22"/>
        </w:rPr>
        <w:t xml:space="preserve">16.2.  </w:t>
      </w:r>
      <w:r>
        <w:rPr>
          <w:b/>
          <w:color w:val="000000"/>
          <w:sz w:val="22"/>
          <w:u w:val="single"/>
        </w:rPr>
        <w:t xml:space="preserve">Amendments.  </w:t>
      </w:r>
      <w:r>
        <w:rPr>
          <w:color w:val="000000"/>
          <w:sz w:val="22"/>
        </w:rPr>
        <w:t>No amendment to this Agreement is valid unless made in writing and signed by authorised representatives of both Parties.</w:t>
      </w:r>
    </w:p>
    <w:p>
      <w:pPr>
        <w:spacing w:before="80" w:after="80"/>
        <w:ind w:left="0"/>
      </w:pPr>
      <w:r>
        <w:rPr>
          <w:b/>
          <w:color w:val="000000"/>
          <w:sz w:val="22"/>
        </w:rPr>
        <w:t xml:space="preserve">16.3.  </w:t>
      </w:r>
      <w:r>
        <w:rPr>
          <w:b/>
          <w:color w:val="000000"/>
          <w:sz w:val="22"/>
          <w:u w:val="single"/>
        </w:rPr>
        <w:t xml:space="preserve">Waiver.  </w:t>
      </w:r>
      <w:r>
        <w:rPr>
          <w:color w:val="000000"/>
          <w:sz w:val="22"/>
        </w:rPr>
        <w:t>Failure to exercise, or delay in exercising, any right under this Agreement shall not constitute a waiver of that right.</w:t>
      </w:r>
    </w:p>
    <w:p>
      <w:pPr>
        <w:spacing w:before="80" w:after="80"/>
        <w:ind w:left="0"/>
      </w:pPr>
      <w:r>
        <w:rPr>
          <w:b/>
          <w:color w:val="000000"/>
          <w:sz w:val="22"/>
        </w:rPr>
        <w:t xml:space="preserve">16.4.  </w:t>
      </w:r>
      <w:r>
        <w:rPr>
          <w:b/>
          <w:color w:val="000000"/>
          <w:sz w:val="22"/>
          <w:u w:val="single"/>
        </w:rPr>
        <w:t xml:space="preserve">Severability.  </w:t>
      </w:r>
      <w:r>
        <w:rPr>
          <w:color w:val="000000"/>
          <w:sz w:val="22"/>
        </w:rPr>
        <w:t>If any provision of this Agreement is found invalid or unenforceable, the remaining provisions shall continue in full force and effect.</w:t>
      </w:r>
    </w:p>
    <w:p>
      <w:pPr>
        <w:spacing w:before="80" w:after="80"/>
        <w:ind w:left="0"/>
      </w:pPr>
      <w:r>
        <w:rPr>
          <w:b/>
          <w:color w:val="000000"/>
          <w:sz w:val="22"/>
        </w:rPr>
        <w:t xml:space="preserve">16.5.  </w:t>
      </w:r>
      <w:r>
        <w:rPr>
          <w:b/>
          <w:color w:val="000000"/>
          <w:sz w:val="22"/>
          <w:u w:val="single"/>
        </w:rPr>
        <w:t xml:space="preserve">Assignment.  </w:t>
      </w:r>
      <w:r>
        <w:rPr>
          <w:color w:val="000000"/>
          <w:sz w:val="22"/>
        </w:rPr>
        <w:t>The Introducer may not assign or transfer any rights or obligations under this Agreement without the prior written consent of the Principal.</w:t>
      </w:r>
    </w:p>
    <w:p>
      <w:pPr>
        <w:spacing w:before="80" w:after="80"/>
        <w:ind w:left="0"/>
      </w:pPr>
      <w:r>
        <w:rPr>
          <w:b/>
          <w:color w:val="000000"/>
          <w:sz w:val="22"/>
        </w:rPr>
        <w:t xml:space="preserve">16.6.  </w:t>
      </w:r>
      <w:r>
        <w:rPr>
          <w:b/>
          <w:color w:val="000000"/>
          <w:sz w:val="22"/>
          <w:u w:val="single"/>
        </w:rPr>
        <w:t xml:space="preserve">Programme Amendments.  </w:t>
      </w:r>
      <w:r>
        <w:rPr>
          <w:color w:val="000000"/>
          <w:sz w:val="22"/>
        </w:rPr>
        <w:t>The Principal reserves the right to amend Commission rates or programme terms with thirty (30) days written notice. Such amendments shall not affect Commission entitlements arising from Introductions confirmed as New Registrations before the notice date.</w:t>
      </w:r>
    </w:p>
    <w:p/>
    <w:p>
      <w:r>
        <w:rPr>
          <w:color w:val="404040"/>
          <w:sz w:val="16"/>
        </w:rPr>
        <w:t>────────────────────────────────────────────────────────────────────────────────</w:t>
      </w:r>
    </w:p>
    <w:p/>
    <w:p>
      <w:pPr>
        <w:pStyle w:val="Heading1"/>
        <w:jc w:val="left"/>
      </w:pPr>
      <w:r>
        <w:rPr>
          <w:b/>
          <w:color w:val="C9A432"/>
          <w:sz w:val="28"/>
        </w:rPr>
        <w:t>EXECUTION</w:t>
      </w:r>
    </w:p>
    <w:p>
      <w:r>
        <w:rPr>
          <w:rFonts w:ascii="Calibri" w:hAnsi="Calibri"/>
          <w:b w:val="0"/>
          <w:i w:val="0"/>
          <w:color w:val="000000"/>
          <w:sz w:val="22"/>
        </w:rPr>
        <w:t>By signing below, the Parties confirm they have read, understood, and agreed to all terms and conditions of this General Introducer Agreement.</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FOR THE INTRODUCER</w:t>
              <w:br/>
              <w:t>IPN INTERNATIONAL PROPERTY NETWORK (CYPRUS) LIMITED</w:t>
            </w:r>
          </w:p>
        </w:tc>
        <w:tc>
          <w:tcPr>
            <w:tcW w:type="dxa" w:w="4419"/>
            <w:shd w:val="clear" w:color="auto" w:fill="1A365D"/>
          </w:tcPr>
          <w:p>
            <w:r>
              <w:rPr>
                <w:b/>
                <w:color w:val="FFFFFF"/>
                <w:sz w:val="20"/>
              </w:rPr>
              <w:t>FOR THE PRINCIPAL</w:t>
              <w:br/>
              <w:t>LIGHTHIEF CYPRUS LTD</w:t>
            </w:r>
          </w:p>
        </w:tc>
      </w:tr>
      <w:tr>
        <w:tc>
          <w:tcPr>
            <w:tcW w:type="dxa" w:w="4419"/>
          </w:tcPr>
          <w:p>
            <w:r>
              <w:rPr>
                <w:color w:val="000000"/>
                <w:sz w:val="20"/>
              </w:rPr>
              <w:t>Name:  Vasos Kolonas</w:t>
            </w:r>
          </w:p>
        </w:tc>
        <w:tc>
          <w:tcPr>
            <w:tcW w:type="dxa" w:w="4419"/>
          </w:tcPr>
          <w:p>
            <w:r>
              <w:rPr>
                <w:color w:val="000000"/>
                <w:sz w:val="20"/>
              </w:rPr>
              <w:t>Name:  Alexander Papacosta</w:t>
            </w:r>
          </w:p>
        </w:tc>
      </w:tr>
      <w:tr>
        <w:tc>
          <w:tcPr>
            <w:tcW w:type="dxa" w:w="4419"/>
          </w:tcPr>
          <w:p>
            <w:r>
              <w:rPr>
                <w:color w:val="000000"/>
                <w:sz w:val="20"/>
              </w:rPr>
              <w:t>Capacity:  Authorised Representative</w:t>
            </w:r>
          </w:p>
        </w:tc>
        <w:tc>
          <w:tcPr>
            <w:tcW w:type="dxa" w:w="4419"/>
          </w:tcPr>
          <w:p>
            <w:r>
              <w:rPr>
                <w:color w:val="000000"/>
                <w:sz w:val="20"/>
              </w:rPr>
              <w:t>Capacity:  Cyprus Director</w:t>
            </w:r>
          </w:p>
        </w:tc>
      </w:tr>
      <w:tr>
        <w:tc>
          <w:tcPr>
            <w:tcW w:type="dxa" w:w="4419"/>
          </w:tcPr>
          <w:p>
            <w:r>
              <w:rPr>
                <w:color w:val="000000"/>
                <w:sz w:val="20"/>
              </w:rPr>
              <w:t>Signature:  _________________________</w:t>
            </w:r>
          </w:p>
        </w:tc>
        <w:tc>
          <w:tcPr>
            <w:tcW w:type="dxa" w:w="4419"/>
          </w:tcPr>
          <w:p>
            <w:r>
              <w:rPr>
                <w:color w:val="000000"/>
                <w:sz w:val="20"/>
              </w:rPr>
              <w:t>Signature:  _________________________</w:t>
            </w:r>
          </w:p>
        </w:tc>
      </w:tr>
      <w:tr>
        <w:tc>
          <w:tcPr>
            <w:tcW w:type="dxa" w:w="4419"/>
          </w:tcPr>
          <w:p>
            <w:r>
              <w:rPr>
                <w:color w:val="000000"/>
                <w:sz w:val="20"/>
              </w:rPr>
              <w:t>Date:  ______________________________</w:t>
            </w:r>
          </w:p>
        </w:tc>
        <w:tc>
          <w:tcPr>
            <w:tcW w:type="dxa" w:w="4419"/>
          </w:tcPr>
          <w:p>
            <w:r>
              <w:rPr>
                <w:color w:val="000000"/>
                <w:sz w:val="20"/>
              </w:rPr>
              <w:t>Date:  ______________________________</w:t>
            </w:r>
          </w:p>
        </w:tc>
      </w:tr>
      <w:tr>
        <w:tc>
          <w:tcPr>
            <w:tcW w:type="dxa" w:w="4419"/>
          </w:tcPr>
          <w:p>
            <w:r>
              <w:rPr>
                <w:color w:val="000000"/>
                <w:sz w:val="20"/>
              </w:rPr>
              <w:t>Stamp (if applicable):  ______________</w:t>
            </w:r>
          </w:p>
        </w:tc>
        <w:tc>
          <w:tcPr>
            <w:tcW w:type="dxa" w:w="4419"/>
          </w:tcPr>
          <w:p>
            <w:r>
              <w:rPr>
                <w:color w:val="000000"/>
                <w:sz w:val="20"/>
              </w:rPr>
              <w:t>Company Seal</w:t>
            </w:r>
          </w:p>
        </w:tc>
      </w:tr>
    </w:tbl>
    <w:p/>
    <w:p>
      <w:r>
        <w:rPr>
          <w:rFonts w:ascii="Calibri" w:hAnsi="Calibri"/>
          <w:b w:val="0"/>
          <w:i/>
          <w:color w:val="404040"/>
          <w:sz w:val="22"/>
        </w:rPr>
        <w:t>* Each Party should initial every page and retain one signed original. An electronically signed copy (PDF) shall have equal legal validity.</w:t>
      </w:r>
    </w:p>
    <w:p/>
    <w:p>
      <w:r>
        <w:rPr>
          <w:color w:val="404040"/>
          <w:sz w:val="16"/>
        </w:rPr>
        <w:t>────────────────────────────────────────────────────────────────────────────────</w:t>
      </w:r>
    </w:p>
    <w:p/>
    <w:p>
      <w:pPr>
        <w:pStyle w:val="Heading1"/>
        <w:jc w:val="left"/>
      </w:pPr>
      <w:r>
        <w:rPr>
          <w:b/>
          <w:color w:val="C9A432"/>
          <w:sz w:val="28"/>
        </w:rPr>
        <w:t>SCHEDULE A — INTRODUCTION LOG &amp; REGISTRATION RECORD</w:t>
      </w:r>
    </w:p>
    <w:p>
      <w:r>
        <w:rPr>
          <w:rFonts w:ascii="Calibri" w:hAnsi="Calibri"/>
          <w:b w:val="0"/>
          <w:i w:val="0"/>
          <w:color w:val="000000"/>
          <w:sz w:val="22"/>
        </w:rPr>
        <w:t>To be completed by the Principal upon issuing each Registration Confirmation. A copy shall be emailed to the Introducer within five (5) Working Days of receipt of the Introduction email.</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Field</w:t>
            </w:r>
          </w:p>
        </w:tc>
        <w:tc>
          <w:tcPr>
            <w:tcW w:type="dxa" w:w="4419"/>
            <w:shd w:val="clear" w:color="auto" w:fill="1A365D"/>
          </w:tcPr>
          <w:p>
            <w:r>
              <w:rPr>
                <w:b/>
                <w:color w:val="FFFFFF"/>
                <w:sz w:val="20"/>
              </w:rPr>
              <w:t>Details</w:t>
            </w:r>
          </w:p>
        </w:tc>
      </w:tr>
      <w:tr>
        <w:tc>
          <w:tcPr>
            <w:tcW w:type="dxa" w:w="4419"/>
          </w:tcPr>
          <w:p>
            <w:r>
              <w:rPr>
                <w:b/>
                <w:sz w:val="20"/>
              </w:rPr>
              <w:t>Agreement Reference</w:t>
            </w:r>
          </w:p>
        </w:tc>
        <w:tc>
          <w:tcPr>
            <w:tcW w:type="dxa" w:w="4419"/>
          </w:tcPr>
          <w:p>
            <w:r>
              <w:rPr>
                <w:color w:val="000000"/>
                <w:sz w:val="20"/>
              </w:rPr>
              <w:t>LCY-INT-IPN-2026-001</w:t>
            </w:r>
          </w:p>
        </w:tc>
      </w:tr>
      <w:tr>
        <w:tc>
          <w:tcPr>
            <w:tcW w:type="dxa" w:w="4419"/>
          </w:tcPr>
          <w:p>
            <w:r>
              <w:rPr>
                <w:b/>
                <w:sz w:val="20"/>
              </w:rPr>
              <w:t>Introduction Email Date</w:t>
            </w:r>
          </w:p>
        </w:tc>
        <w:tc>
          <w:tcPr>
            <w:tcW w:type="dxa" w:w="4419"/>
          </w:tcPr>
          <w:p>
            <w:r>
              <w:rPr>
                <w:color w:val="000000"/>
                <w:sz w:val="20"/>
              </w:rPr>
              <w:t>_______ / _______ / _______</w:t>
            </w:r>
          </w:p>
        </w:tc>
      </w:tr>
      <w:tr>
        <w:tc>
          <w:tcPr>
            <w:tcW w:type="dxa" w:w="4419"/>
          </w:tcPr>
          <w:p>
            <w:r>
              <w:rPr>
                <w:b/>
                <w:sz w:val="20"/>
              </w:rPr>
              <w:t>Prospective Client Name</w:t>
            </w:r>
          </w:p>
        </w:tc>
        <w:tc>
          <w:tcPr>
            <w:tcW w:type="dxa" w:w="4419"/>
          </w:tcPr>
          <w:p>
            <w:r>
              <w:rPr>
                <w:color w:val="000000"/>
                <w:sz w:val="20"/>
              </w:rPr>
              <w:t>______________________________________</w:t>
            </w:r>
          </w:p>
        </w:tc>
      </w:tr>
      <w:tr>
        <w:tc>
          <w:tcPr>
            <w:tcW w:type="dxa" w:w="4419"/>
          </w:tcPr>
          <w:p>
            <w:r>
              <w:rPr>
                <w:b/>
                <w:sz w:val="20"/>
              </w:rPr>
              <w:t>Partial Telephone Number</w:t>
            </w:r>
          </w:p>
        </w:tc>
        <w:tc>
          <w:tcPr>
            <w:tcW w:type="dxa" w:w="4419"/>
          </w:tcPr>
          <w:p>
            <w:r>
              <w:rPr>
                <w:color w:val="000000"/>
                <w:sz w:val="20"/>
              </w:rPr>
              <w:t>______________________________________</w:t>
            </w:r>
          </w:p>
        </w:tc>
      </w:tr>
      <w:tr>
        <w:tc>
          <w:tcPr>
            <w:tcW w:type="dxa" w:w="4419"/>
          </w:tcPr>
          <w:p>
            <w:r>
              <w:rPr>
                <w:b/>
                <w:sz w:val="20"/>
              </w:rPr>
              <w:t>Country / Territory</w:t>
            </w:r>
          </w:p>
        </w:tc>
        <w:tc>
          <w:tcPr>
            <w:tcW w:type="dxa" w:w="4419"/>
          </w:tcPr>
          <w:p>
            <w:r>
              <w:rPr>
                <w:color w:val="000000"/>
                <w:sz w:val="20"/>
              </w:rPr>
              <w:t>______________________________________</w:t>
            </w:r>
          </w:p>
        </w:tc>
      </w:tr>
      <w:tr>
        <w:tc>
          <w:tcPr>
            <w:tcW w:type="dxa" w:w="4419"/>
          </w:tcPr>
          <w:p>
            <w:r>
              <w:rPr>
                <w:b/>
                <w:sz w:val="20"/>
              </w:rPr>
              <w:t>Sector / Project Type</w:t>
            </w:r>
          </w:p>
        </w:tc>
        <w:tc>
          <w:tcPr>
            <w:tcW w:type="dxa" w:w="4419"/>
          </w:tcPr>
          <w:p>
            <w:r>
              <w:rPr>
                <w:color w:val="000000"/>
                <w:sz w:val="20"/>
              </w:rPr>
              <w:t>______________________________________</w:t>
            </w:r>
          </w:p>
        </w:tc>
      </w:tr>
      <w:tr>
        <w:tc>
          <w:tcPr>
            <w:tcW w:type="dxa" w:w="4419"/>
          </w:tcPr>
          <w:p>
            <w:r>
              <w:rPr>
                <w:b/>
                <w:sz w:val="20"/>
              </w:rPr>
              <w:t>Registration Status</w:t>
            </w:r>
          </w:p>
        </w:tc>
        <w:tc>
          <w:tcPr>
            <w:tcW w:type="dxa" w:w="4419"/>
          </w:tcPr>
          <w:p>
            <w:r>
              <w:rPr>
                <w:color w:val="000000"/>
                <w:sz w:val="20"/>
              </w:rPr>
              <w:t>□  New Registration □  Existing Contact — No Commission</w:t>
            </w:r>
          </w:p>
        </w:tc>
      </w:tr>
      <w:tr>
        <w:tc>
          <w:tcPr>
            <w:tcW w:type="dxa" w:w="4419"/>
          </w:tcPr>
          <w:p>
            <w:r>
              <w:rPr>
                <w:b/>
                <w:sz w:val="20"/>
              </w:rPr>
              <w:t>Protection Period Expiry</w:t>
            </w:r>
          </w:p>
        </w:tc>
        <w:tc>
          <w:tcPr>
            <w:tcW w:type="dxa" w:w="4419"/>
          </w:tcPr>
          <w:p>
            <w:r>
              <w:rPr>
                <w:color w:val="000000"/>
                <w:sz w:val="20"/>
              </w:rPr>
              <w:t>_______ / _______ / _______  (12 months from confirmation)</w:t>
            </w:r>
          </w:p>
        </w:tc>
      </w:tr>
      <w:tr>
        <w:tc>
          <w:tcPr>
            <w:tcW w:type="dxa" w:w="4419"/>
          </w:tcPr>
          <w:p>
            <w:r>
              <w:rPr>
                <w:b/>
                <w:sz w:val="20"/>
              </w:rPr>
              <w:t>Commission Rate</w:t>
            </w:r>
          </w:p>
        </w:tc>
        <w:tc>
          <w:tcPr>
            <w:tcW w:type="dxa" w:w="4419"/>
          </w:tcPr>
          <w:p>
            <w:r>
              <w:rPr>
                <w:color w:val="000000"/>
                <w:sz w:val="20"/>
              </w:rPr>
              <w:t>3.0% of Contract Value</w:t>
            </w:r>
          </w:p>
        </w:tc>
      </w:tr>
      <w:tr>
        <w:tc>
          <w:tcPr>
            <w:tcW w:type="dxa" w:w="4419"/>
          </w:tcPr>
          <w:p>
            <w:r>
              <w:rPr>
                <w:b/>
                <w:sz w:val="20"/>
              </w:rPr>
              <w:t>Confirmation Issued By</w:t>
            </w:r>
          </w:p>
        </w:tc>
        <w:tc>
          <w:tcPr>
            <w:tcW w:type="dxa" w:w="4419"/>
          </w:tcPr>
          <w:p>
            <w:r>
              <w:rPr>
                <w:color w:val="000000"/>
                <w:sz w:val="20"/>
              </w:rPr>
              <w:t>Alexander Papacosta, Cyprus Director</w:t>
            </w:r>
          </w:p>
        </w:tc>
      </w:tr>
      <w:tr>
        <w:tc>
          <w:tcPr>
            <w:tcW w:type="dxa" w:w="4419"/>
          </w:tcPr>
          <w:p>
            <w:r>
              <w:rPr>
                <w:b/>
                <w:sz w:val="20"/>
              </w:rPr>
              <w:t>Confirmation Date</w:t>
            </w:r>
          </w:p>
        </w:tc>
        <w:tc>
          <w:tcPr>
            <w:tcW w:type="dxa" w:w="4419"/>
          </w:tcPr>
          <w:p>
            <w:r>
              <w:rPr>
                <w:color w:val="000000"/>
                <w:sz w:val="20"/>
              </w:rPr>
              <w:t>_______ / _______ / _______</w:t>
            </w:r>
          </w:p>
        </w:tc>
      </w:tr>
      <w:tr>
        <w:tc>
          <w:tcPr>
            <w:tcW w:type="dxa" w:w="4419"/>
          </w:tcPr>
          <w:p>
            <w:r>
              <w:rPr>
                <w:b/>
                <w:sz w:val="20"/>
              </w:rPr>
              <w:t>Confirmation Sent to</w:t>
            </w:r>
          </w:p>
        </w:tc>
        <w:tc>
          <w:tcPr>
            <w:tcW w:type="dxa" w:w="4419"/>
          </w:tcPr>
          <w:p>
            <w:r>
              <w:rPr>
                <w:color w:val="000000"/>
                <w:sz w:val="20"/>
              </w:rPr>
              <w:t>______________________________________  (Introducer email)</w:t>
            </w:r>
          </w:p>
        </w:tc>
      </w:tr>
    </w:tbl>
    <w:p/>
    <w:p>
      <w:r>
        <w:rPr>
          <w:rFonts w:ascii="Calibri" w:hAnsi="Calibri"/>
          <w:b w:val="0"/>
          <w:i/>
          <w:color w:val="404040"/>
          <w:sz w:val="22"/>
        </w:rPr>
        <w:t>Note: A separate Schedule A shall be completed for each Introduction submitted under this Agreement.</w:t>
      </w:r>
    </w:p>
    <w:p/>
    <w:p>
      <w:r>
        <w:rPr>
          <w:color w:val="404040"/>
          <w:sz w:val="16"/>
        </w:rPr>
        <w:t>────────────────────────────────────────────────────────────────────────────────</w:t>
      </w:r>
    </w:p>
    <w:p/>
    <w:p>
      <w:pPr>
        <w:pStyle w:val="Heading1"/>
        <w:jc w:val="left"/>
      </w:pPr>
      <w:r>
        <w:rPr>
          <w:b/>
          <w:color w:val="C9A432"/>
          <w:sz w:val="28"/>
        </w:rPr>
        <w:t>SCHEDULE B — INTRODUCER BANK DETAILS</w:t>
      </w:r>
    </w:p>
    <w:p>
      <w:r>
        <w:rPr>
          <w:rFonts w:ascii="Calibri" w:hAnsi="Calibri"/>
          <w:b w:val="0"/>
          <w:i w:val="0"/>
          <w:color w:val="000000"/>
          <w:sz w:val="22"/>
        </w:rPr>
        <w:t>Bank account details for Commission payments. The Introducer is responsible for notifying the Principal of any changes.</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Account Holder Name</w:t>
            </w:r>
          </w:p>
        </w:tc>
        <w:tc>
          <w:tcPr>
            <w:tcW w:type="dxa" w:w="4419"/>
          </w:tcPr>
          <w:p>
            <w:r>
              <w:rPr>
                <w:color w:val="000000"/>
                <w:sz w:val="20"/>
              </w:rPr>
              <w:t>______________________________________</w:t>
            </w:r>
          </w:p>
        </w:tc>
      </w:tr>
      <w:tr>
        <w:tc>
          <w:tcPr>
            <w:tcW w:type="dxa" w:w="4419"/>
          </w:tcPr>
          <w:p>
            <w:r>
              <w:rPr>
                <w:b/>
                <w:sz w:val="20"/>
              </w:rPr>
              <w:t>Bank Name</w:t>
            </w:r>
          </w:p>
        </w:tc>
        <w:tc>
          <w:tcPr>
            <w:tcW w:type="dxa" w:w="4419"/>
          </w:tcPr>
          <w:p>
            <w:r>
              <w:rPr>
                <w:color w:val="000000"/>
                <w:sz w:val="20"/>
              </w:rPr>
              <w:t>______________________________________</w:t>
            </w:r>
          </w:p>
        </w:tc>
      </w:tr>
      <w:tr>
        <w:tc>
          <w:tcPr>
            <w:tcW w:type="dxa" w:w="4419"/>
          </w:tcPr>
          <w:p>
            <w:r>
              <w:rPr>
                <w:b/>
                <w:sz w:val="20"/>
              </w:rPr>
              <w:t>IBAN</w:t>
            </w:r>
          </w:p>
        </w:tc>
        <w:tc>
          <w:tcPr>
            <w:tcW w:type="dxa" w:w="4419"/>
          </w:tcPr>
          <w:p>
            <w:r>
              <w:rPr>
                <w:color w:val="000000"/>
                <w:sz w:val="20"/>
              </w:rPr>
              <w:t>______________________________________</w:t>
            </w:r>
          </w:p>
        </w:tc>
      </w:tr>
      <w:tr>
        <w:tc>
          <w:tcPr>
            <w:tcW w:type="dxa" w:w="4419"/>
          </w:tcPr>
          <w:p>
            <w:r>
              <w:rPr>
                <w:b/>
                <w:sz w:val="20"/>
              </w:rPr>
              <w:t>SWIFT / BIC</w:t>
            </w:r>
          </w:p>
        </w:tc>
        <w:tc>
          <w:tcPr>
            <w:tcW w:type="dxa" w:w="4419"/>
          </w:tcPr>
          <w:p>
            <w:r>
              <w:rPr>
                <w:color w:val="000000"/>
                <w:sz w:val="20"/>
              </w:rPr>
              <w:t>______________________________________</w:t>
            </w:r>
          </w:p>
        </w:tc>
      </w:tr>
      <w:tr>
        <w:tc>
          <w:tcPr>
            <w:tcW w:type="dxa" w:w="4419"/>
          </w:tcPr>
          <w:p>
            <w:r>
              <w:rPr>
                <w:b/>
                <w:sz w:val="20"/>
              </w:rPr>
              <w:t>Bank Address</w:t>
            </w:r>
          </w:p>
        </w:tc>
        <w:tc>
          <w:tcPr>
            <w:tcW w:type="dxa" w:w="4419"/>
          </w:tcPr>
          <w:p>
            <w:r>
              <w:rPr>
                <w:color w:val="000000"/>
                <w:sz w:val="20"/>
              </w:rPr>
              <w:t>______________________________________</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VAT Registration No.</w:t>
            </w:r>
          </w:p>
        </w:tc>
        <w:tc>
          <w:tcPr>
            <w:tcW w:type="dxa" w:w="4419"/>
          </w:tcPr>
          <w:p>
            <w:r>
              <w:rPr>
                <w:color w:val="000000"/>
                <w:sz w:val="20"/>
              </w:rPr>
              <w:t>______________________________________</w:t>
            </w:r>
          </w:p>
        </w:tc>
      </w:tr>
    </w:tbl>
    <w:p/>
    <w:p>
      <w:r>
        <w:rPr>
          <w:color w:val="404040"/>
          <w:sz w:val="16"/>
        </w:rPr>
        <w:t>────────────────────────────────────────────────────────────────────────────────</w:t>
      </w:r>
    </w:p>
    <w:p/>
    <w:p>
      <w:pPr>
        <w:jc w:val="center"/>
      </w:pPr>
      <w:r>
        <w:rPr>
          <w:i/>
          <w:color w:val="404040"/>
          <w:sz w:val="16"/>
        </w:rPr>
        <w:t>© 2026 LIGHTHIEF CYPRUS LTD  |  Reg. HE 477423  |  solarfarms.cy  |  office@lighthief.com</w:t>
        <w:br/>
        <w:t>This agreement is confidential. Introducer Commission is subject to execution of this Agreement and the registration process in Clause 5. All commission rates are as stated herein.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