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t>Document Reference: LCY-EPC-SPA-2026</w:t>
        <w:br/>
        <w:t>Version: 5.1</w:t>
        <w:br/>
        <w:t>Date: May 2026</w:t>
        <w:br/>
        <w:br/>
        <w:t>VERSION HISTORY</w:t>
        <w:br/>
        <w:t>v1.0 — Oct 2025: Initial draft</w:t>
        <w:br/>
        <w:t>v2.0 — Jan 2026: Linyang RFI confirmed terms</w:t>
        <w:br/>
        <w:t>v3.0 — 22 Feb 2026: Installation scope, delay LD framework, bankability</w:t>
        <w:br/>
        <w:t>v4.0 — 17 Mar 2026: Single counterparty warranty, title at PAC, unified warranty, performance guarantees</w:t>
        <w:br/>
        <w:t>v5.0 — 6 May 2026: Two-component price split, FAC removed (3-month DLP), tiered liability cap (10/50/uncapped), client lawyer review comments addressed</w:t>
        <w:br/>
        <w:t>v5.1 — May 2026: Indicative Price + Confirmed Price mechanism (raw material / FX adjustment), LD Value split (Comp A delivery / Comp B commissioning), upstream FM flow-through, 12-month Connection Terms longstop, 30-day advance payment trigger</w:t>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Spanercom Ltd, a company incorporated under the laws of the Republic of Cyprus, with registered office at Stasikratous 32, Charalambous Tower, Floor 6, Flat/Office 603, 1065 Nicosia, Cyprus, Registration No. HE 396638 ("Client").</w:t>
      </w:r>
    </w:p>
    <w:p>
      <w:r>
        <w:rPr>
          <w:b w:val="0"/>
          <w:sz w:val="20"/>
        </w:rPr>
        <w:t>Contractor and Client are referred to individually as a “Party” and collectively as the “Parties.”</w:t>
      </w:r>
    </w:p>
    <w:p>
      <w:pPr>
        <w:spacing w:before="320"/>
      </w:pPr>
      <w:r>
        <w:rPr>
          <w:b/>
          <w:color w:val="1A365D"/>
          <w:sz w:val="24"/>
        </w:rPr>
        <w:t>1A. CONDITIONS PRECEDENT</w:t>
      </w:r>
    </w:p>
    <w:p>
      <w:r>
        <w:t xml:space="preserve">1A.1 This Agreement is conditional upon the Client obtaining grid connection terms from EAC/DSO for the Site (“Connection Terms”) within twelve (12)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t xml:space="preserve">1A.3 The advance payment under Section 7.1(a) shall become due within thirty (30)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t xml:space="preserve">6.1 Contract Price — Indicative and Confirmed
(a) Indicative Contract Price: The Contract Price set out in Sections 6.2 and 6.3 is an Indicative Price based on Linyang Quotation LY202601271 (January 2026), exclusive of VAT. The Indicative Price is binding on the Contractor for the period between the Effective Date and the Confirmed Price Certificate Date (as defined below).
(b) Confirmed Price Trigger: Within fourteen (14) days following the Client's receipt of Connection Terms (per Section 1A), the Contractor shall issue a Confirmed Price Certificate, fixing the final Contract Price to be applied to all subsequent payment milestones.
(c) Adjustment Methodology: The Confirmed Price shall equal the Indicative Price, save where:
  (i) the Linyang battery cell raw material reference index (reference: 155,000 CNY/tonne (Mysteel China battery-grade spot, January 2026 monthly average)) has moved by more than ten percent (10%); or
  (ii) the EUR/CNY exchange rate (reference: 8.18 CNY per EUR (January 2026 average)) has moved by more than eight percent (8%); or
  (iii) the equipment configuration in Schedule A is modified at the Client's request.
(d) Adjustment Cap: Any upward adjustment to the Indicative Price shall not exceed five percent (5%) of the Indicative Contract Price. Where the calculated adjustment exceeds 5%, either Party may terminate this Agreement without penalty by written notice within fourteen (14) days of the Confirmed Price Certificate. Upon such termination, the Contractor shall refund any advance payments received within thirty (30) days, less reasonable and documented costs incurred prior to termination.
(e) Pass-Through Limitation: The Contractor shall not pass through any cost increases that result from the Contractor's own delay or fault.
(f) All milestone percentages in Section 7.1 are calculated on the Confirmed Contract Price (or, prior to issue of the Confirmed Price Certificate, on the Indicative Contract Price).</w:t>
      </w:r>
    </w:p>
    <w:p>
      <w:pPr>
        <w:spacing w:before="200"/>
      </w:pPr>
      <w:r>
        <w:t xml:space="preserve">6.2 Indicative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t xml:space="preserve">6.3 Indicative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seven (7)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t xml:space="preserve">(g) "LD Value" — Calculated separately by delay type:
  (i) Equipment Delivery Delay (delivery of equipment to Site delayed): Confirmed Component A Equipment Supply Price for Full Park; or Confirmed Component A Equipment Supply Price × Affected Capacity % for Partial Delay.
  (ii) EPC Commissioning Delay (PAC not achieved after equipment delivered to Site for reasons within the Contractor's reasonable control): Confirmed Component B EPC Services Price for Full Park; or Confirmed Component B EPC Services Price × Affected Capacity % for Partial Delay.
The combined Delay LDs across both categories shall not exceed the cap in Section 8.4.4.</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t xml:space="preserve">8.4.6 Exclusions; (vii) Upstream Force Majeure declared by the OEM and notified to the Client per Section 8.4.7A.</w:t>
      </w:r>
    </w:p>
    <w:p>
      <w:r>
        <w:t xml:space="preserve">8.4.7A Upstream Force Majeure (OEM Flow-Through). Where the OEM has formally notified the Contractor in writing of a Force Majeure event under the upstream supply contract, and such event directly causes a delay in delivery of equipment to Site, the Contractor may declare the same event as Force Majeure under this Agreement, provided the Contractor gives written notice to the Client within seven (7) Business Days of receiving the OEM's notification, including a copy of the OEM's Force Majeure notice. The Target PAC Date shall extend for the same duration as the OEM's Force Majeure period. No Delay LDs shall accrue during the Upstream Force Majeure period.</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(LCY-LTSA-SPA-2026)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COMMERCIAL DETAILS AND PRICE BASIS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Reference: LCY-EPC-SPA-2026 | Version: 5.1 | Date: May 2026</w:t>
      </w:r>
    </w:p>
    <w:p>
      <w:r>
        <w:t xml:space="preserve"/>
      </w:r>
    </w:p>
    <w:p>
      <w:r>
        <w:t xml:space="preserve">============================================================</w:t>
      </w:r>
    </w:p>
    <w:p>
      <w:r>
        <w:t xml:space="preserve">PART 1 — PARK DETAILS</w:t>
      </w:r>
    </w:p>
    <w:p>
      <w:r>
        <w:t xml:space="preserve">============================================================</w:t>
      </w:r>
    </w:p>
    <w:p>
      <w:r>
        <w:t xml:space="preserve"/>
      </w:r>
    </w:p>
    <w:p>
      <w:r>
        <w:t xml:space="preserve">Park Name:              Anarita 1</w:t>
      </w:r>
    </w:p>
    <w:p>
      <w:r>
        <w:t xml:space="preserve">Site / District:        Paphos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531,287.57</w:t>
      </w:r>
    </w:p>
    <w:p>
      <w:r>
        <w:t xml:space="preserve">  INDICATIVE CONTRACT PRICE (A+B, ex VAT):   EUR 2,380,000.00</w:t>
      </w:r>
    </w:p>
    <w:p>
      <w:r>
        <w:t xml:space="preserve"/>
      </w:r>
    </w:p>
    <w:p>
      <w:r>
        <w:t xml:space="preserve">  APG (70% × Indicative Component A):        EUR 1,294,098.70</w:t>
      </w:r>
    </w:p>
    <w:p>
      <w:r>
        <w:t xml:space="preserve">  Performance Bond (5% × Component A):       EUR 92,435.62</w:t>
      </w:r>
    </w:p>
    <w:p>
      <w:r>
        <w:t xml:space="preserve">------------------------------------------------------------</w:t>
      </w:r>
    </w:p>
    <w:p>
      <w:r>
        <w:t xml:space="preserve"/>
      </w:r>
    </w:p>
    <w:p>
      <w:r>
        <w:t xml:space="preserve">Park Name:              Anarita 2</w:t>
      </w:r>
    </w:p>
    <w:p>
      <w:r>
        <w:t xml:space="preserve">Site / District:        Paphos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531,287.57</w:t>
      </w:r>
    </w:p>
    <w:p>
      <w:r>
        <w:t xml:space="preserve">  INDICATIVE CONTRACT PRICE (A+B, ex VAT):   EUR 2,380,000.00</w:t>
      </w:r>
    </w:p>
    <w:p>
      <w:r>
        <w:t xml:space="preserve"/>
      </w:r>
    </w:p>
    <w:p>
      <w:r>
        <w:t xml:space="preserve">  APG (70% × Indicative Component A):        EUR 1,294,098.70</w:t>
      </w:r>
    </w:p>
    <w:p>
      <w:r>
        <w:t xml:space="preserve">  Performance Bond (5% × Component A):       EUR 92,435.62</w:t>
      </w:r>
    </w:p>
    <w:p>
      <w:r>
        <w:t xml:space="preserve">------------------------------------------------------------</w:t>
      </w:r>
    </w:p>
    <w:p>
      <w:r>
        <w:t xml:space="preserve"/>
      </w:r>
    </w:p>
    <w:p>
      <w:r>
        <w:t xml:space="preserve">============================================================</w:t>
      </w:r>
    </w:p>
    <w:p>
      <w:r>
        <w:t xml:space="preserve">PART 2 — COMBINED CONTRACT SUMMARY</w:t>
      </w:r>
    </w:p>
    <w:p>
      <w:r>
        <w:t xml:space="preserve">============================================================</w:t>
      </w:r>
    </w:p>
    <w:p>
      <w:r>
        <w:t xml:space="preserve"/>
      </w:r>
    </w:p>
    <w:p>
      <w:r>
        <w:t xml:space="preserve">TOTAL INDICATIVE CONTRACT PRICE (ex VAT):  EUR 4,760,000.00</w:t>
      </w:r>
    </w:p>
    <w:p>
      <w:r>
        <w:t xml:space="preserve"/>
      </w:r>
    </w:p>
    <w:p>
      <w:r>
        <w:t xml:space="preserve">PAYMENT MILESTONES (applied to Confirmed Contract Price):</w:t>
      </w:r>
    </w:p>
    <w:p>
      <w:r>
        <w:t xml:space="preserve">  Advance (30%):     EUR 1,428,000.00  — Within 30 days of payment trigger (§1A.3)</w:t>
      </w:r>
    </w:p>
    <w:p>
      <w:r>
        <w:t xml:space="preserve">  Pre-Ship (55%):    EUR 2,618,000.00  — On FAT + Linyang written confirmation</w:t>
      </w:r>
    </w:p>
    <w:p>
      <w:r>
        <w:t xml:space="preserve">  PAC (10%):         EUR 476,000.00  — System commissioned, grid-connected</w:t>
      </w:r>
    </w:p>
    <w:p>
      <w:r>
        <w:t xml:space="preserve">  Retention (5%):    EUR 238,000.00  — Released after 3-month DLP</w:t>
      </w:r>
    </w:p>
    <w:p>
      <w:r>
        <w:t xml:space="preserve">  TOTAL:             EUR 4,760,000.00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w:t>
      </w:r>
    </w:p>
    <w:p>
      <w:r>
        <w:t xml:space="preserve">Base Warranty End:      5 years from PAC (January 2032)</w:t>
      </w:r>
    </w:p>
    <w:p>
      <w:r>
        <w:t xml:space="preserve">DLP End:                3 months post-PAC (approx. April 2027)</w:t>
      </w:r>
    </w:p>
    <w:p>
      <w:r>
        <w:t xml:space="preserve">Retention Release:      On DLP expiry (approx. April 2027)</w:t>
      </w:r>
    </w:p>
    <w:p>
      <w:r>
        <w:t xml:space="preserve"/>
      </w:r>
    </w:p>
    <w:p>
      <w:r>
        <w:t xml:space="preserve">============================================================</w:t>
      </w:r>
    </w:p>
    <w:p>
      <w:r>
        <w:t xml:space="preserve">PART 4 — PRICE BASIS REFERENCE (per Section 6.1)</w:t>
      </w:r>
    </w:p>
    <w:p>
      <w:r>
        <w:t xml:space="preserve">============================================================</w:t>
      </w:r>
    </w:p>
    <w:p>
      <w:r>
        <w:t xml:space="preserve"/>
      </w:r>
    </w:p>
    <w:p>
      <w:r>
        <w:t xml:space="preserve">Quotation Source:       Linyang Quotation LY202601271 (January 2026)</w:t>
      </w:r>
    </w:p>
    <w:p>
      <w:r>
        <w:t xml:space="preserve">Lithium Carbonate Index: 155,000 CNY/tonne (Mysteel China battery-grade spot, January 2026 monthly average)</w:t>
      </w:r>
    </w:p>
    <w:p>
      <w:r>
        <w:t xml:space="preserve">EUR/CNY Reference:      8.18 CNY per EUR (January 2026 average)</w:t>
      </w:r>
    </w:p>
    <w:p>
      <w:r>
        <w:t xml:space="preserve">Reference Date:         January 2026</w:t>
      </w:r>
    </w:p>
    <w:p>
      <w:r>
        <w:t xml:space="preserve"/>
      </w:r>
    </w:p>
    <w:p>
      <w:r>
        <w:t xml:space="preserve">Adjustment Triggers (per §6.1(c)):</w:t>
      </w:r>
    </w:p>
    <w:p>
      <w:r>
        <w:t xml:space="preserve">  • Lithium carbonate index movement &gt; 10% from reference value, OR</w:t>
      </w:r>
    </w:p>
    <w:p>
      <w:r>
        <w:t xml:space="preserve">  • EUR/CNY rate movement &gt; 8% from reference value, OR</w:t>
      </w:r>
    </w:p>
    <w:p>
      <w:r>
        <w:t xml:space="preserve">  • Configuration change requested by Client</w:t>
      </w:r>
    </w:p>
    <w:p>
      <w:r>
        <w:t xml:space="preserve"/>
      </w:r>
    </w:p>
    <w:p>
      <w:r>
        <w:t xml:space="preserve">Adjustment Cap: 5% of Indicative Contract Price (§6.1(d))</w:t>
      </w:r>
    </w:p>
    <w:p>
      <w:r>
        <w:t xml:space="preserve">Walk-away Right: Either Party may terminate without penalty if adjustment &gt; 5%</w:t>
      </w:r>
    </w:p>
    <w:p>
      <w:r>
        <w:t xml:space="preserve"/>
      </w:r>
    </w:p>
    <w:p>
      <w:r>
        <w:t xml:space="preserve">============================================================</w:t>
      </w:r>
    </w:p>
    <w:p>
      <w:r>
        <w:t xml:space="preserve">PART 5 — BESS TECHNICAL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60870-5-104</w:t>
      </w:r>
    </w:p>
    <w:p>
      <w:r>
        <w:t xml:space="preserve"/>
      </w:r>
    </w:p>
    <w:p>
      <w:r>
        <w:t xml:space="preserve">PCS: Kehua BCS1250K-C-HUD (1.25 MW); ≥98% efficiency; EN 50549-2 (TÜV D 115067 0077)</w:t>
      </w:r>
    </w:p>
    <w:p>
      <w:r>
        <w:t xml:space="preserve">Incoterms: CIF Limassol, Cyprus (Incoterms 2020); Port of Shipment: Shanghai</w:t>
      </w:r>
    </w:p>
    <w:p>
      <w:r>
        <w:t xml:space="preserve"/>
      </w:r>
    </w:p>
    <w:p>
      <w:r>
        <w:t xml:space="preserve">============================================================</w:t>
      </w:r>
    </w:p>
    <w:p>
      <w:r>
        <w:t xml:space="preserve">PART 6 — COMPANION DOCUMENTS (executed simultaneously)</w:t>
      </w:r>
    </w:p>
    <w:p>
      <w:r>
        <w:t xml:space="preserve">============================================================</w:t>
      </w:r>
    </w:p>
    <w:p>
      <w:r>
        <w:t xml:space="preserve"/>
      </w:r>
    </w:p>
    <w:p>
      <w:r>
        <w:t xml:space="preserve">1. LTSA v4.0 (Ref: LCY-LTSA-SPA-2026)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6. Confirmed Price Certificate (issued within 14 days of Connection Terms receipt)</w:t>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Spanercom Ltd (“Client”):</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