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 xml:space="preserve">Document Reference: LCY-EPC-001
Version: 5.1
Date: May 2026
VERSION HISTORY
v1.0 — Oct 2025: Initial draft
v2.0 — Jan 2026: Linyang RFI confirmed terms
v3.0 — 22 Feb 2026: Installation scope, delay LD framework, bankability
v4.0 — 17 Mar 2026: Single counterparty warranty, title at PAC, unified warranty, performance guarantees
v5.0 — 6 May 2026: Two-component price split, FAC removed (3-month DLP), tiered liability cap (10/50/uncapped), client lawyer review comments addressed
v5.1 — May 2026: Indicative Price + Confirmed Price mechanism (raw material / FX adjustment), LD Value split (Comp A delivery / Comp B commissioning), upstream FM flow-through, 12-month Connection Terms longstop, 30-day advance payment trigger</w:t>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 End Customer Legal Name], a company incorporated under the laws of [●], with registered office at [●] (“Client”).</w:t>
      </w:r>
    </w:p>
    <w:p>
      <w:r>
        <w:rPr>
          <w:b w:val="0"/>
          <w:sz w:val="20"/>
        </w:rPr>
        <w:t>Contractor and Client are referred to individually as a “Party” and collectively as the “Parties.”</w:t>
      </w:r>
    </w:p>
    <w:p>
      <w:pPr>
        <w:spacing w:before="320"/>
      </w:pPr>
      <w:r>
        <w:rPr>
          <w:b/>
          <w:color w:val="1A365D"/>
          <w:sz w:val="24"/>
        </w:rPr>
        <w:t>1A. CONDITIONS PRECEDENT</w:t>
      </w:r>
    </w:p>
    <w:p>
      <w:r>
        <w:t xml:space="preserve">1A.1 This Agreement is conditional upon the Client obtaining grid connection terms from EAC/DSO for the Site (“Connection Terms”) within twelve (12)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 xml:space="preserve">1A.3 The advance payment under Section 7.1(a) shall become due within thirty (30)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 xml:space="preserve">"EMS" </w:t>
      </w:r>
      <w:r>
        <w:rPr>
          <w:sz w:val="20"/>
        </w:rPr>
        <w:t>means Energy Management System. EMS integration is provided by Lighthief EU BESS Ltd under a separate EMS Integration Agreement, guaranteed by the Contractor per Section 4.4.</w:t>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Lighthief EU BESS Ltd, an affiliate of the Contractor, under a separate EMS Integration Agreement.</w:t>
      </w:r>
    </w:p>
    <w:p>
      <w:r>
        <w:rPr>
          <w:b/>
          <w:sz w:val="20"/>
        </w:rPr>
        <w:t>(b) The Contractor hereby guarantees the performance of Lighthief EU BESS Ltd’s obligations under the EMS Integration Agreement. If Lighthief EU BESS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t xml:space="preserve">6.1 Contract Price — Indicative and Confirmed
(a) Indicative Contract Price: The Contract Price set out in Sections 6.2 and 6.3 is an Indicative Price based on Linyang Quotation LY202601271 (January 2026), exclusive of VAT. The Indicative Price is binding on the Contractor for the period between the Effective Date and the Confirmed Price Certificate Date (as defined below).
(b) Confirmed Price Trigger: Within fourteen (14) days following the Client's receipt of Connection Terms (per Section 1A), the Contractor shall issue a Confirmed Price Certificate, fixing the final Contract Price to be applied to all subsequent payment milestones.
(c) Adjustment Methodology: The Confirmed Price shall equal the Indicative Price, save where:
  (i) the Linyang battery cell raw material reference index (reference: 155,000 CNY/tonne (Mysteel China battery-grade spot, January 2026 monthly average)) has moved by more than ten percent (10%); or
  (ii) the EUR/CNY exchange rate (reference: 8.18 CNY per EUR (January 2026 average)) has moved by more than eight percent (8%); or
  (iii) the equipment configuration in Schedule A is modified at the Client's request.
(d)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
(e) Pass-Through Limitation: The Contractor shall not pass through any cost increases that result from the Contractor's own delay or fault.
(f) All milestone percentages in Section 7.1 are calculated on the Confirmed Contract Price (or, prior to issue of the Confirmed Price Certificate, on the Indicative Contract Price).</w:t>
      </w:r>
    </w:p>
    <w:p>
      <w:pPr>
        <w:spacing w:before="200"/>
      </w:pPr>
      <w:r>
        <w:t xml:space="preserve">6.2 Indicative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30% advance payment within seven (7) days of the payment trigger under Section 1A.3;</w:t>
      </w:r>
    </w:p>
    <w:p>
      <w:r>
        <w:rPr>
          <w:b w:val="0"/>
          <w:sz w:val="20"/>
        </w:rPr>
        <w:t>(b) 55% payment prior to shipment of BESS equipment, upon Contractor’s written confirmation of successful Factory Acceptance Testing (FAT) and photographic evidence of readiness;</w:t>
      </w:r>
    </w:p>
    <w:p>
      <w:r>
        <w:rPr>
          <w:b w:val="0"/>
          <w:sz w:val="20"/>
        </w:rPr>
        <w:t>(c) 10% payment upon issuance of PAC;</w:t>
      </w:r>
    </w:p>
    <w:p>
      <w:r>
        <w:rPr>
          <w:b w:val="0"/>
          <w:sz w:val="20"/>
        </w:rPr>
        <w:t>(d) 5% Retention released at the end of the Defects Liability Period (three (3) months after PAC), subject to Section 7.4.</w:t>
      </w:r>
    </w:p>
    <w:p>
      <w:r>
        <w:rPr>
          <w:b w:val="0"/>
          <w:sz w:val="20"/>
        </w:rPr>
        <w:t>7.2 Payments exclusive of VAT.</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upon issuance of PAC and receipt of the PAC payment under Section 7.1(c).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 xml:space="preserve">8.4.6 Exclusions; (vii) Upstream Force Majeure declared by the OEM and notified to the Client per Section 8.4.7A.</w:t>
      </w:r>
    </w:p>
    <w:p>
      <w:r>
        <w:t xml:space="preserve">8.4.7A Upstream Force Majeure (OEM Flow-Through). Where the OEM has formally notified the Contractor in writing of a Force Majeure event under the upstream supply contract, and such event directly causes a delay in delivery of equipment to Site,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 No Delay LDs shall accrue during the Upstream Force Majeure period.</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There is no Final Acceptance Certificate. Retention is released automatically at the end of the Defects Liability Period subject to Section 7.4(c).</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≥79.58%, Year 15 ≥70% (Year 15 subject to extended warranty under LTSA).</w:t>
      </w:r>
    </w:p>
    <w:p>
      <w:r>
        <w:rPr>
          <w:b/>
          <w:sz w:val="20"/>
        </w:rPr>
        <w:t>(b) Round-Trip Efficiency: ≥86.32% at 0.5C, 25±2°C. PAC field floor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The APG covers: 20% advance on Component A + 50% pre-shipment on Component A = 70% of the Component A Equipment Supply Price.</w:t>
      </w:r>
    </w:p>
    <w:p>
      <w:r>
        <w:rPr>
          <w:b w:val="0"/>
          <w:sz w:val="20"/>
        </w:rPr>
        <w:t>(c) The APG shall be delivered prior to the advance payment becoming due (condition precedent per Section 9B.4 of the upstream supply agreement).</w:t>
      </w:r>
    </w:p>
    <w:p>
      <w:r>
        <w:rPr>
          <w:b w:val="0"/>
          <w:sz w:val="20"/>
        </w:rPr>
        <w:t>(d) The APG shall remain valid until equipment delivery to Site plus thirty (30) days.</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(LCY-LTSA-001 v4.0)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Warranty claims (defects in materials, workmanship, or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rPr>
          <w:b/>
          <w:color w:val="1A365D"/>
          <w:sz w:val="24"/>
        </w:rPr>
        <w:t>SCHEDULE A — TECHNICAL SPECIFICATIONS AND PROJECT DETAILS</w:t>
      </w:r>
    </w:p>
    <w:p>
      <w:r>
        <w:rPr>
          <w:b w:val="0"/>
          <w:sz w:val="20"/>
        </w:rPr>
        <w:t>[Linyang Power Atlantic 5MWh specifications per v4.0. Project-specific details to be completed:</w:t>
      </w:r>
    </w:p>
    <w:p>
      <w:pPr>
        <w:ind w:left="567"/>
      </w:pPr>
      <w:r>
        <w:rPr>
          <w:sz w:val="20"/>
        </w:rPr>
        <w:t>Park name(s):</w:t>
      </w:r>
    </w:p>
    <w:p>
      <w:pPr>
        <w:ind w:left="567"/>
      </w:pPr>
      <w:r>
        <w:rPr>
          <w:sz w:val="20"/>
        </w:rPr>
        <w:t>Total BESS capacity (MWh):</w:t>
      </w:r>
    </w:p>
    <w:p>
      <w:pPr>
        <w:ind w:left="567"/>
      </w:pPr>
      <w:r>
        <w:rPr>
          <w:sz w:val="20"/>
        </w:rPr>
        <w:t>Number of containers:</w:t>
      </w:r>
    </w:p>
    <w:p>
      <w:pPr>
        <w:ind w:left="567"/>
      </w:pPr>
      <w:r>
        <w:rPr>
          <w:sz w:val="20"/>
        </w:rPr>
        <w:t>MV skid configuration:</w:t>
      </w:r>
    </w:p>
    <w:p>
      <w:pPr>
        <w:ind w:left="567"/>
      </w:pPr>
      <w:r>
        <w:rPr>
          <w:sz w:val="20"/>
        </w:rPr>
        <w:t>PCS model and quantity:</w:t>
      </w:r>
    </w:p>
    <w:p>
      <w:pPr>
        <w:ind w:left="567"/>
      </w:pPr>
      <w:r>
        <w:rPr>
          <w:sz w:val="20"/>
        </w:rPr>
        <w:t>Coastal distance (km):</w:t>
      </w:r>
    </w:p>
    <w:p>
      <w:pPr>
        <w:ind w:left="567"/>
      </w:pPr>
      <w:r>
        <w:rPr>
          <w:sz w:val="20"/>
        </w:rPr>
        <w:t>Target PAC Date:</w:t>
      </w:r>
    </w:p>
    <w:p>
      <w:pPr>
        <w:ind w:left="567"/>
      </w:pPr>
      <w:r>
        <w:rPr>
          <w:sz w:val="20"/>
        </w:rPr>
        <w:t>Component A — Equipment Supply Price (EUR):</w:t>
      </w:r>
    </w:p>
    <w:p>
      <w:pPr>
        <w:ind w:left="567"/>
      </w:pPr>
      <w:r>
        <w:rPr>
          <w:sz w:val="20"/>
        </w:rPr>
        <w:t>Component B — EPC Services Price (EUR):</w:t>
      </w:r>
    </w:p>
    <w:p>
      <w:pPr>
        <w:ind w:left="567"/>
      </w:pPr>
      <w:r>
        <w:rPr>
          <w:sz w:val="20"/>
        </w:rPr>
        <w:t>Contract Price (A + B) (EUR):</w:t>
      </w:r>
    </w:p>
    <w:p>
      <w:r>
        <w:br w:type="page"/>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 End Customer] (“Client”):</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