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left"/>
        <w:tblLook w:firstColumn="1" w:firstRow="1" w:lastColumn="0" w:lastRow="0" w:noHBand="0" w:noVBand="1" w:val="04A0"/>
        <w:tblW w:w="7938" w:type="dxa"/>
        <w:tblLayout w:type="fixed"/>
      </w:tblPr>
      <w:tblGrid>
        <w:gridCol w:w="5670"/>
        <w:gridCol w:w="2268"/>
      </w:tblGrid>
      <w:tr>
        <w:tc>
          <w:tcPr>
            <w:shd w:val="clear" w:color="auto" w:fill="1A365D"/>
            <w:vAlign w:val="center"/>
            <w:tcW w:w="5670" w:type="dxa"/>
          </w:tcPr>
          <w:p>
            <w:pPr>
              <w:spacing w:before="120" w:after="120"/>
            </w:pPr>
            <w:r>
              <w:rPr>
                <w:rFonts w:ascii="Calibri" w:hAnsi="Calibri"/>
                <w:b/>
                <w:i w:val="0"/>
                <w:color w:val="FFFFFF"/>
                <w:sz w:val="44"/>
              </w:rPr>
              <w:t>Lighthief</w:t>
            </w:r>
            <w:r>
              <w:rPr>
                <w:rFonts w:ascii="Calibri" w:hAnsi="Calibri"/>
                <w:b w:val="0"/>
                <w:i w:val="0"/>
                <w:color w:val="FFFFFF"/>
                <w:sz w:val="22"/>
              </w:rPr>
              <w:t xml:space="preserve"> Cyprus Ltd</w:t>
            </w:r>
          </w:p>
        </w:tc>
        <w:tc>
          <w:tcPr>
            <w:shd w:val="clear" w:color="auto" w:fill="1A365D"/>
            <w:vAlign w:val="center"/>
            <w:tcW w:w="2268" w:type="dxa"/>
          </w:tcPr>
          <w:p>
            <w:pPr>
              <w:spacing w:before="120" w:after="120"/>
              <w:jc w:val="right"/>
            </w:pPr>
            <w:r>
              <w:rPr>
                <w:rFonts w:ascii="Calibri" w:hAnsi="Calibri"/>
                <w:b/>
                <w:i w:val="0"/>
                <w:color w:val="C9A432"/>
                <w:sz w:val="16"/>
              </w:rPr>
              <w:t>LETTER OF INTENT</w:t>
              <w:br/>
            </w:r>
            <w:r>
              <w:rPr>
                <w:rFonts w:ascii="Calibri" w:hAnsi="Calibri"/>
                <w:b w:val="0"/>
                <w:i w:val="0"/>
                <w:color w:val="FFFFFF"/>
                <w:sz w:val="16"/>
              </w:rPr>
              <w:t>Ref: LCY-LOI-ESP-PIPELINE-2026-R15</w:t>
              <w:br/>
            </w:r>
            <w:r>
              <w:rPr>
                <w:rFonts w:ascii="Calibri" w:hAnsi="Calibri"/>
                <w:b w:val="0"/>
                <w:i w:val="0"/>
                <w:color w:val="FFFFFF"/>
                <w:sz w:val="16"/>
              </w:rPr>
              <w:t>Date: May 2026</w:t>
              <w:br/>
            </w:r>
            <w:r>
              <w:rPr>
                <w:rFonts w:ascii="Calibri" w:hAnsi="Calibri"/>
                <w:b/>
                <w:i w:val="0"/>
                <w:color w:val="C9A432"/>
                <w:sz w:val="16"/>
              </w:rPr>
              <w:t>STRICTLY CONFIDENTIAL</w:t>
              <w:br/>
            </w:r>
          </w:p>
        </w:tc>
      </w:tr>
    </w:tbl>
    <w:p>
      <w:pPr>
        <w:spacing w:after="40"/>
      </w:pPr>
    </w:p>
    <w:p>
      <w:r>
        <w:rPr>
          <w:rFonts w:ascii="Calibri" w:hAnsi="Calibri"/>
          <w:b/>
          <w:i w:val="0"/>
          <w:color w:val="1A365D"/>
          <w:sz w:val="36"/>
        </w:rPr>
        <w:t>Letter of Intent</w:t>
      </w:r>
    </w:p>
    <w:p>
      <w:r>
        <w:rPr>
          <w:rFonts w:ascii="Calibri" w:hAnsi="Calibri"/>
          <w:b w:val="0"/>
          <w:i/>
          <w:color w:val="404040"/>
          <w:sz w:val="22"/>
        </w:rPr>
        <w:t>Esperia Energy Group — BESS Pipeline Commitment (Schedule 1)</w:t>
      </w:r>
    </w:p>
    <w:p>
      <w:pPr>
        <w:spacing w:before="320" w:after="80"/>
      </w:pPr>
      <w:r>
        <w:rPr>
          <w:rFonts w:ascii="Calibri" w:hAnsi="Calibri"/>
          <w:b/>
          <w:i w:val="0"/>
          <w:color w:val="C9A432"/>
          <w:sz w:val="24"/>
        </w:rPr>
        <w:t>PARTIES</w:t>
      </w:r>
    </w:p>
    <w:tbl>
      <w:tblPr>
        <w:jc w:val="left"/>
        <w:tblLook w:firstColumn="1" w:firstRow="1" w:lastColumn="0" w:lastRow="0" w:noHBand="0" w:noVBand="1" w:val="04A0"/>
        <w:tblW w:w="7937" w:type="dxa"/>
        <w:tblLayout w:type="fixed"/>
      </w:tblPr>
      <w:tblGrid>
        <w:gridCol w:w="1417"/>
        <w:gridCol w:w="6520"/>
      </w:tblGrid>
      <w:tr>
        <w:tc>
          <w:tcPr>
            <w:shd w:val="clear" w:color="auto" w:fill="1A365D"/>
            <w:vAlign w:val="center"/>
            <w:tcW w:w="1417" w:type="dxa"/>
          </w:tcPr>
          <w:p>
            <w:pPr>
              <w:jc w:val="center"/>
            </w:pPr>
            <w:r>
              <w:rPr>
                <w:rFonts w:ascii="Calibri" w:hAnsi="Calibri"/>
                <w:b/>
                <w:i w:val="0"/>
                <w:color w:val="FFFFFF"/>
                <w:sz w:val="20"/>
              </w:rPr>
              <w:t>Contractor</w:t>
            </w:r>
          </w:p>
        </w:tc>
        <w:tc>
          <w:tcPr>
            <w:tcW w:w="6520" w:type="dxa"/>
          </w:tcPr>
          <w:p>
            <w:r>
              <w:rPr>
                <w:rFonts w:ascii="Calibri" w:hAnsi="Calibri"/>
                <w:b w:val="0"/>
                <w:i w:val="0"/>
                <w:color w:val="000000"/>
                <w:sz w:val="18"/>
              </w:rPr>
              <w:t>Lighthief Cyprus Ltd</w:t>
              <w:br/>
              <w:t>Registration No. HE 477423</w:t>
              <w:br/>
              <w:t>28 October Ave 249, Lophitis Business Center 1,</w:t>
              <w:br/>
              <w:t>Office 201, 3035 Limassol, Cyprus</w:t>
              <w:br/>
              <w:t>office@lighthief.com | +357 77 77 00 50</w:t>
              <w:br/>
              <w:t>(hereinafter "Lighthief" or the "Contractor")</w:t>
            </w:r>
          </w:p>
        </w:tc>
      </w:tr>
      <w:tr>
        <w:tc>
          <w:tcPr>
            <w:shd w:val="clear" w:color="auto" w:fill="1A365D"/>
            <w:vAlign w:val="center"/>
            <w:tcW w:w="1417" w:type="dxa"/>
          </w:tcPr>
          <w:p>
            <w:pPr>
              <w:jc w:val="center"/>
            </w:pPr>
            <w:r>
              <w:rPr>
                <w:rFonts w:ascii="Calibri" w:hAnsi="Calibri"/>
                <w:b/>
                <w:i w:val="0"/>
                <w:color w:val="FFFFFF"/>
                <w:sz w:val="20"/>
              </w:rPr>
              <w:t>Client</w:t>
            </w:r>
          </w:p>
        </w:tc>
        <w:tc>
          <w:tcPr>
            <w:tcW w:w="6520" w:type="dxa"/>
          </w:tcPr>
          <w:p>
            <w:r>
              <w:rPr>
                <w:rFonts w:ascii="Calibri" w:hAnsi="Calibri"/>
                <w:b w:val="0"/>
                <w:i w:val="0"/>
                <w:color w:val="000000"/>
                <w:sz w:val="18"/>
              </w:rPr>
              <w:t>Esperia Energy Group</w:t>
              <w:br/>
              <w:t>Christaki Kranou 18, Limassol 4046, Cyprus</w:t>
              <w:br/>
              <w:t>represented by: Ntinos Konstantinos (Owner)</w:t>
              <w:br/>
              <w:br/>
              <w:t>(hereinafter "the Client")</w:t>
            </w:r>
          </w:p>
        </w:tc>
      </w:tr>
    </w:tbl>
    <w:p>
      <w:pPr>
        <w:spacing w:before="320" w:after="80"/>
      </w:pPr>
      <w:r>
        <w:rPr>
          <w:rFonts w:ascii="Calibri" w:hAnsi="Calibri"/>
          <w:b/>
          <w:i w:val="0"/>
          <w:color w:val="C9A432"/>
          <w:sz w:val="24"/>
        </w:rPr>
        <w:t>RECITALS</w:t>
      </w:r>
    </w:p>
    <w:p>
      <w:pPr>
        <w:jc w:val="both"/>
      </w:pPr>
      <w:r>
        <w:rPr>
          <w:rFonts w:ascii="Calibri" w:hAnsi="Calibri"/>
          <w:b/>
          <w:i w:val="0"/>
          <w:color w:val="1A365D"/>
          <w:sz w:val="20"/>
        </w:rPr>
        <w:t xml:space="preserve">A.  </w:t>
      </w:r>
      <w:r>
        <w:rPr>
          <w:rFonts w:ascii="Calibri" w:hAnsi="Calibri"/>
          <w:b w:val="0"/>
          <w:i w:val="0"/>
          <w:color w:val="000000"/>
          <w:sz w:val="20"/>
        </w:rPr>
        <w:t>Lighthief supplies and installs grid-connected BESS for hybrid PV projects in Cyprus.</w:t>
      </w:r>
    </w:p>
    <w:p>
      <w:pPr>
        <w:jc w:val="both"/>
      </w:pPr>
      <w:r>
        <w:rPr>
          <w:rFonts w:ascii="Calibri" w:hAnsi="Calibri"/>
          <w:b/>
          <w:i w:val="0"/>
          <w:color w:val="1A365D"/>
          <w:sz w:val="20"/>
        </w:rPr>
        <w:t xml:space="preserve">B.  </w:t>
      </w:r>
      <w:r>
        <w:rPr>
          <w:rFonts w:ascii="Calibri" w:hAnsi="Calibri"/>
          <w:b w:val="0"/>
          <w:i w:val="0"/>
          <w:color w:val="000000"/>
          <w:sz w:val="20"/>
        </w:rPr>
        <w:t>The Client (Esperia Energy Group) develops BESS projects in Famagusta, Limassol, and Nicosia.</w:t>
      </w:r>
    </w:p>
    <w:p>
      <w:pPr>
        <w:jc w:val="both"/>
      </w:pPr>
      <w:r>
        <w:rPr>
          <w:rFonts w:ascii="Calibri" w:hAnsi="Calibri"/>
          <w:b/>
          <w:i w:val="0"/>
          <w:color w:val="1A365D"/>
          <w:sz w:val="20"/>
        </w:rPr>
        <w:t xml:space="preserve">C.  </w:t>
      </w:r>
      <w:r>
        <w:rPr>
          <w:rFonts w:ascii="Calibri" w:hAnsi="Calibri"/>
          <w:b w:val="0"/>
          <w:i w:val="0"/>
          <w:color w:val="000000"/>
          <w:sz w:val="20"/>
        </w:rPr>
        <w:t>The Client wishes to commit to the nine (9) pipeline parks in Schedule 1 (75.5 MW / 315.0 MWh). Galascope 1 and Galascope 2 are covered under a separate Letter of Intent with Galascope Ltd (Ref: LCY-LOI-GAL-B1-2026).</w:t>
      </w:r>
    </w:p>
    <w:p>
      <w:pPr>
        <w:spacing w:after="160"/>
        <w:jc w:val="both"/>
      </w:pPr>
      <w:r>
        <w:rPr>
          <w:rFonts w:ascii="Calibri" w:hAnsi="Calibri"/>
          <w:b w:val="0"/>
          <w:i w:val="0"/>
          <w:color w:val="000000"/>
          <w:sz w:val="20"/>
        </w:rPr>
        <w:t>NOW THEREFORE, the Parties agree as follows:</w:t>
      </w:r>
    </w:p>
    <w:p>
      <w:pPr>
        <w:spacing w:before="320" w:after="80"/>
      </w:pPr>
      <w:r>
        <w:rPr>
          <w:rFonts w:ascii="Calibri" w:hAnsi="Calibri"/>
          <w:b/>
          <w:i w:val="0"/>
          <w:color w:val="C9A432"/>
          <w:sz w:val="24"/>
        </w:rPr>
        <w:t>1.   COMMITMENT AND PURPOSE</w:t>
      </w:r>
    </w:p>
    <w:p>
      <w:pPr>
        <w:spacing w:after="100"/>
        <w:jc w:val="both"/>
      </w:pPr>
      <w:r>
        <w:rPr>
          <w:rFonts w:ascii="Calibri" w:hAnsi="Calibri"/>
          <w:b w:val="0"/>
          <w:i w:val="0"/>
          <w:color w:val="000000"/>
          <w:sz w:val="20"/>
        </w:rPr>
        <w:t>1.1  The Client confirms its intention to award BESS EPC contracts to Lighthief for nine (9) parks in Schedule 1 (75.5 MW / 315.0 MWh). Combined indicative value €34,458,823 (excl. VAT), based on Linyang quotation LY202601271 and group-order pricing. This LOI does not include Galascope Ltd parks.</w:t>
      </w:r>
    </w:p>
    <w:p>
      <w:pPr>
        <w:spacing w:after="100"/>
        <w:jc w:val="both"/>
      </w:pPr>
      <w:r>
        <w:rPr>
          <w:rFonts w:ascii="Calibri" w:hAnsi="Calibri"/>
          <w:b w:val="0"/>
          <w:i w:val="0"/>
          <w:color w:val="000000"/>
          <w:sz w:val="20"/>
        </w:rPr>
        <w:t>1.2  This LOI supports Lighthief's procurement and OEM planning. Except where expressly stated as binding below, this LOI is not an obligation to sign any EPC; each phase EPC is binding only when signed.</w:t>
      </w:r>
    </w:p>
    <w:p>
      <w:pPr>
        <w:spacing w:after="100"/>
        <w:jc w:val="both"/>
      </w:pPr>
      <w:r>
        <w:rPr>
          <w:rFonts w:ascii="Calibri" w:hAnsi="Calibri"/>
          <w:b w:val="0"/>
          <w:i w:val="0"/>
          <w:color w:val="000000"/>
          <w:sz w:val="20"/>
        </w:rPr>
        <w:t>1.3  (Binding) If the Client withdraws after Lighthief has relied on this LOI, the Client reimburses third-party costs paid or non-cancellable third-party commitments for Schedule 1 parks (evidenced by invoice or signed contract), unless withdrawal is for a Valid Reason. Total reimbursement under this Clause is capped at €400,000.</w:t>
      </w:r>
    </w:p>
    <w:p>
      <w:pPr>
        <w:spacing w:after="100"/>
        <w:jc w:val="both"/>
      </w:pPr>
      <w:r>
        <w:rPr>
          <w:rFonts w:ascii="Calibri" w:hAnsi="Calibri"/>
          <w:b w:val="0"/>
          <w:i w:val="0"/>
          <w:color w:val="000000"/>
          <w:sz w:val="20"/>
        </w:rPr>
        <w:t>Valid Reason: (a) grid Connection Terms / licence not obtained within twelve (12) months of the EPC Effective Date (or such other longstop as the EPC specifies); (b) change in law or DSO/EAC rules makes installation unlawful or impossible (adviser certificate); (c) mutual written termination; (d) Lighthief material breach not remedied within thirty (30) days; (e) project financing for a park is not secured despite reasonable efforts evidenced in writing; (f) Linyang insolvency or sanctions preventing supply. New third-party spend above €50,000 per park requires the Client's prior written approval.</w:t>
      </w:r>
    </w:p>
    <w:p>
      <w:pPr>
        <w:spacing w:before="320" w:after="80"/>
      </w:pPr>
      <w:r>
        <w:rPr>
          <w:rFonts w:ascii="Calibri" w:hAnsi="Calibri"/>
          <w:b/>
          <w:i w:val="0"/>
          <w:color w:val="C9A432"/>
          <w:sz w:val="24"/>
        </w:rPr>
        <w:t>2.   SCHEDULE 1 — PARKS AND INDICATIVE PRICING</w:t>
      </w:r>
    </w:p>
    <w:tbl>
      <w:tblPr>
        <w:tblLook w:firstColumn="1" w:firstRow="1" w:lastColumn="0" w:lastRow="0" w:noHBand="0" w:noVBand="1" w:val="04A0"/>
        <w:tblW w:w="7936" w:type="dxa"/>
        <w:tblLayout w:type="fixed"/>
      </w:tblPr>
      <w:tblGrid>
        <w:gridCol w:w="1984"/>
        <w:gridCol w:w="1984"/>
        <w:gridCol w:w="1984"/>
        <w:gridCol w:w="1984"/>
      </w:tblGrid>
      <w:tr>
        <w:tc>
          <w:tcPr>
            <w:shd w:val="clear" w:color="auto" w:fill="EBF0F7"/>
            <w:tcW w:w="1984" w:type="dxa"/>
          </w:tcPr>
          <w:p>
            <w:pPr>
              <w:jc w:val="center"/>
            </w:pPr>
            <w:r>
              <w:rPr>
                <w:rFonts w:ascii="Calibri" w:hAnsi="Calibri"/>
                <w:b/>
                <w:i w:val="0"/>
                <w:color w:val="1A365D"/>
                <w:sz w:val="24"/>
              </w:rPr>
              <w:t>9 Parks</w:t>
              <w:br/>
            </w:r>
            <w:r>
              <w:rPr>
                <w:rFonts w:ascii="Calibri" w:hAnsi="Calibri"/>
                <w:b w:val="0"/>
                <w:i w:val="0"/>
                <w:color w:val="404040"/>
                <w:sz w:val="15"/>
              </w:rPr>
              <w:t>Schedule 1 Total</w:t>
            </w:r>
          </w:p>
        </w:tc>
        <w:tc>
          <w:tcPr>
            <w:shd w:val="clear" w:color="auto" w:fill="EBF0F7"/>
            <w:tcW w:w="1984" w:type="dxa"/>
          </w:tcPr>
          <w:p>
            <w:pPr>
              <w:jc w:val="center"/>
            </w:pPr>
            <w:r>
              <w:rPr>
                <w:rFonts w:ascii="Calibri" w:hAnsi="Calibri"/>
                <w:b/>
                <w:i w:val="0"/>
                <w:color w:val="1A365D"/>
                <w:sz w:val="24"/>
              </w:rPr>
              <w:t>75.49 MW</w:t>
              <w:br/>
            </w:r>
            <w:r>
              <w:rPr>
                <w:rFonts w:ascii="Calibri" w:hAnsi="Calibri"/>
                <w:b w:val="0"/>
                <w:i w:val="0"/>
                <w:color w:val="404040"/>
                <w:sz w:val="15"/>
              </w:rPr>
              <w:t>Total BESS Power</w:t>
            </w:r>
          </w:p>
        </w:tc>
        <w:tc>
          <w:tcPr>
            <w:shd w:val="clear" w:color="auto" w:fill="EBF0F7"/>
            <w:tcW w:w="1984" w:type="dxa"/>
          </w:tcPr>
          <w:p>
            <w:pPr>
              <w:jc w:val="center"/>
            </w:pPr>
            <w:r>
              <w:rPr>
                <w:rFonts w:ascii="Calibri" w:hAnsi="Calibri"/>
                <w:b/>
                <w:i w:val="0"/>
                <w:color w:val="1A365D"/>
                <w:sz w:val="24"/>
              </w:rPr>
              <w:t>315.0 MWh</w:t>
              <w:br/>
            </w:r>
            <w:r>
              <w:rPr>
                <w:rFonts w:ascii="Calibri" w:hAnsi="Calibri"/>
                <w:b w:val="0"/>
                <w:i w:val="0"/>
                <w:color w:val="404040"/>
                <w:sz w:val="15"/>
              </w:rPr>
              <w:t>Total BESS Energy</w:t>
            </w:r>
          </w:p>
        </w:tc>
        <w:tc>
          <w:tcPr>
            <w:shd w:val="clear" w:color="auto" w:fill="EBF0F7"/>
            <w:tcW w:w="1984" w:type="dxa"/>
          </w:tcPr>
          <w:p>
            <w:pPr>
              <w:jc w:val="center"/>
            </w:pPr>
            <w:r>
              <w:rPr>
                <w:rFonts w:ascii="Calibri" w:hAnsi="Calibri"/>
                <w:b/>
                <w:i w:val="0"/>
                <w:color w:val="1A365D"/>
                <w:sz w:val="24"/>
              </w:rPr>
              <w:t>€34,458,823</w:t>
              <w:br/>
            </w:r>
            <w:r>
              <w:rPr>
                <w:rFonts w:ascii="Calibri" w:hAnsi="Calibri"/>
                <w:b w:val="0"/>
                <w:i w:val="0"/>
                <w:color w:val="404040"/>
                <w:sz w:val="15"/>
              </w:rPr>
              <w:t>Indicative Value (ex. VAT)</w:t>
            </w:r>
          </w:p>
        </w:tc>
      </w:tr>
    </w:tbl>
    <w:tbl>
      <w:tblPr>
        <w:jc w:val="left"/>
        <w:tblLook w:firstColumn="1" w:firstRow="1" w:lastColumn="0" w:lastRow="0" w:noHBand="0" w:noVBand="1" w:val="04A0"/>
        <w:tblW w:w="7369" w:type="dxa"/>
        <w:tblLayout w:type="fixed"/>
      </w:tblPr>
      <w:tblGrid>
        <w:gridCol w:w="2154"/>
        <w:gridCol w:w="793"/>
        <w:gridCol w:w="567"/>
        <w:gridCol w:w="567"/>
        <w:gridCol w:w="1020"/>
        <w:gridCol w:w="1134"/>
        <w:gridCol w:w="1134"/>
      </w:tblGrid>
      <w:tr>
        <w:tc>
          <w:tcPr>
            <w:shd w:val="clear" w:color="auto" w:fill="1A365D"/>
            <w:vAlign w:val="center"/>
            <w:tcW w:w="2154" w:type="dxa"/>
          </w:tcPr>
          <w:p>
            <w:pPr>
              <w:jc w:val="center"/>
            </w:pPr>
            <w:r>
              <w:rPr>
                <w:rFonts w:ascii="Calibri" w:hAnsi="Calibri"/>
                <w:b/>
                <w:i w:val="0"/>
                <w:color w:val="FFFFFF"/>
                <w:sz w:val="16"/>
              </w:rPr>
              <w:t>Park / Project</w:t>
            </w:r>
          </w:p>
        </w:tc>
        <w:tc>
          <w:tcPr>
            <w:shd w:val="clear" w:color="auto" w:fill="1A365D"/>
            <w:vAlign w:val="center"/>
            <w:tcW w:w="793" w:type="dxa"/>
          </w:tcPr>
          <w:p>
            <w:pPr>
              <w:jc w:val="center"/>
            </w:pPr>
            <w:r>
              <w:rPr>
                <w:rFonts w:ascii="Calibri" w:hAnsi="Calibri"/>
                <w:b/>
                <w:i w:val="0"/>
                <w:color w:val="FFFFFF"/>
                <w:sz w:val="16"/>
              </w:rPr>
              <w:t>District</w:t>
            </w:r>
          </w:p>
        </w:tc>
        <w:tc>
          <w:tcPr>
            <w:shd w:val="clear" w:color="auto" w:fill="1A365D"/>
            <w:vAlign w:val="center"/>
            <w:tcW w:w="567" w:type="dxa"/>
          </w:tcPr>
          <w:p>
            <w:pPr>
              <w:jc w:val="center"/>
            </w:pPr>
            <w:r>
              <w:rPr>
                <w:rFonts w:ascii="Calibri" w:hAnsi="Calibri"/>
                <w:b/>
                <w:i w:val="0"/>
                <w:color w:val="FFFFFF"/>
                <w:sz w:val="16"/>
              </w:rPr>
              <w:t>MW</w:t>
            </w:r>
          </w:p>
        </w:tc>
        <w:tc>
          <w:tcPr>
            <w:shd w:val="clear" w:color="auto" w:fill="1A365D"/>
            <w:vAlign w:val="center"/>
            <w:tcW w:w="567" w:type="dxa"/>
          </w:tcPr>
          <w:p>
            <w:pPr>
              <w:jc w:val="center"/>
            </w:pPr>
            <w:r>
              <w:rPr>
                <w:rFonts w:ascii="Calibri" w:hAnsi="Calibri"/>
                <w:b/>
                <w:i w:val="0"/>
                <w:color w:val="FFFFFF"/>
                <w:sz w:val="16"/>
              </w:rPr>
              <w:t>MWh</w:t>
            </w:r>
          </w:p>
        </w:tc>
        <w:tc>
          <w:tcPr>
            <w:shd w:val="clear" w:color="auto" w:fill="1A365D"/>
            <w:vAlign w:val="center"/>
            <w:tcW w:w="1020" w:type="dxa"/>
          </w:tcPr>
          <w:p>
            <w:pPr>
              <w:jc w:val="center"/>
            </w:pPr>
            <w:r>
              <w:rPr>
                <w:rFonts w:ascii="Calibri" w:hAnsi="Calibri"/>
                <w:b/>
                <w:i w:val="0"/>
                <w:color w:val="FFFFFF"/>
                <w:sz w:val="16"/>
              </w:rPr>
              <w:t>Indicative delivery</w:t>
            </w:r>
          </w:p>
        </w:tc>
        <w:tc>
          <w:tcPr>
            <w:shd w:val="clear" w:color="auto" w:fill="1A365D"/>
            <w:vAlign w:val="center"/>
            <w:tcW w:w="1134" w:type="dxa"/>
          </w:tcPr>
          <w:p>
            <w:pPr>
              <w:jc w:val="center"/>
            </w:pPr>
            <w:r>
              <w:rPr>
                <w:rFonts w:ascii="Calibri" w:hAnsi="Calibri"/>
                <w:b/>
                <w:i w:val="0"/>
                <w:color w:val="FFFFFF"/>
                <w:sz w:val="16"/>
              </w:rPr>
              <w:t>Licence</w:t>
            </w:r>
          </w:p>
        </w:tc>
        <w:tc>
          <w:tcPr>
            <w:shd w:val="clear" w:color="auto" w:fill="1A365D"/>
            <w:vAlign w:val="center"/>
            <w:tcW w:w="1134" w:type="dxa"/>
          </w:tcPr>
          <w:p>
            <w:pPr>
              <w:jc w:val="center"/>
            </w:pPr>
            <w:r>
              <w:rPr>
                <w:rFonts w:ascii="Calibri" w:hAnsi="Calibri"/>
                <w:b/>
                <w:i w:val="0"/>
                <w:color w:val="FFFFFF"/>
                <w:sz w:val="16"/>
              </w:rPr>
              <w:t>Indicative Price (ex. VAT)</w:t>
            </w:r>
          </w:p>
        </w:tc>
      </w:tr>
      <w:tr>
        <w:tc>
          <w:tcPr>
            <w:tcW w:w="2154" w:type="dxa"/>
          </w:tcPr>
          <w:p>
            <w:pPr>
              <w:jc w:val="left"/>
            </w:pPr>
            <w:r>
              <w:rPr>
                <w:rFonts w:ascii="Calibri" w:hAnsi="Calibri"/>
                <w:b w:val="0"/>
                <w:i w:val="0"/>
                <w:color w:val="000000"/>
                <w:sz w:val="17"/>
              </w:rPr>
              <w:t>Esperia Energy (Tseri)</w:t>
            </w:r>
          </w:p>
        </w:tc>
        <w:tc>
          <w:tcPr>
            <w:tcW w:w="793" w:type="dxa"/>
          </w:tcPr>
          <w:p>
            <w:pPr>
              <w:jc w:val="center"/>
            </w:pPr>
            <w:r>
              <w:rPr>
                <w:rFonts w:ascii="Calibri" w:hAnsi="Calibri"/>
                <w:b w:val="0"/>
                <w:i w:val="0"/>
                <w:color w:val="000000"/>
                <w:sz w:val="17"/>
              </w:rPr>
              <w:t>Nicosia</w:t>
            </w:r>
          </w:p>
        </w:tc>
        <w:tc>
          <w:tcPr>
            <w:tcW w:w="567" w:type="dxa"/>
          </w:tcPr>
          <w:p>
            <w:pPr>
              <w:jc w:val="right"/>
            </w:pPr>
            <w:r>
              <w:rPr>
                <w:rFonts w:ascii="Calibri" w:hAnsi="Calibri"/>
                <w:b w:val="0"/>
                <w:i w:val="0"/>
                <w:color w:val="000000"/>
                <w:sz w:val="17"/>
              </w:rPr>
              <w:t>7.20</w:t>
            </w:r>
          </w:p>
        </w:tc>
        <w:tc>
          <w:tcPr>
            <w:tcW w:w="567" w:type="dxa"/>
          </w:tcPr>
          <w:p>
            <w:pPr>
              <w:jc w:val="right"/>
            </w:pPr>
            <w:r>
              <w:rPr>
                <w:rFonts w:ascii="Calibri" w:hAnsi="Calibri"/>
                <w:b w:val="0"/>
                <w:i w:val="0"/>
                <w:color w:val="000000"/>
                <w:sz w:val="17"/>
              </w:rPr>
              <w:t>25.0</w:t>
            </w:r>
          </w:p>
        </w:tc>
        <w:tc>
          <w:tcPr>
            <w:tcW w:w="1020" w:type="dxa"/>
          </w:tcPr>
          <w:p>
            <w:pPr>
              <w:jc w:val="center"/>
            </w:pPr>
            <w:r>
              <w:rPr>
                <w:rFonts w:ascii="Calibri" w:hAnsi="Calibri"/>
                <w:b w:val="0"/>
                <w:i w:val="0"/>
                <w:color w:val="000000"/>
                <w:sz w:val="17"/>
              </w:rPr>
              <w:t>2026</w:t>
            </w:r>
          </w:p>
        </w:tc>
        <w:tc>
          <w:tcPr>
            <w:tcW w:w="1134" w:type="dxa"/>
          </w:tcPr>
          <w:p>
            <w:pPr>
              <w:jc w:val="center"/>
            </w:pPr>
            <w:r>
              <w:rPr>
                <w:rFonts w:ascii="Calibri" w:hAnsi="Calibri"/>
                <w:b w:val="0"/>
                <w:i w:val="0"/>
                <w:color w:val="000000"/>
                <w:sz w:val="17"/>
              </w:rPr>
              <w:t>Licence ~6 months</w:t>
            </w:r>
          </w:p>
        </w:tc>
        <w:tc>
          <w:tcPr>
            <w:tcW w:w="1134" w:type="dxa"/>
          </w:tcPr>
          <w:p>
            <w:pPr>
              <w:jc w:val="right"/>
            </w:pPr>
            <w:r>
              <w:rPr>
                <w:rFonts w:ascii="Calibri" w:hAnsi="Calibri"/>
                <w:b w:val="0"/>
                <w:i w:val="0"/>
                <w:color w:val="000000"/>
                <w:sz w:val="17"/>
              </w:rPr>
              <w:t>€3,073,225*</w:t>
            </w:r>
          </w:p>
        </w:tc>
      </w:tr>
      <w:tr>
        <w:tc>
          <w:tcPr>
            <w:tcW w:w="2154" w:type="dxa"/>
          </w:tcPr>
          <w:p>
            <w:pPr>
              <w:jc w:val="left"/>
            </w:pPr>
            <w:r>
              <w:rPr>
                <w:rFonts w:ascii="Calibri" w:hAnsi="Calibri"/>
                <w:b w:val="0"/>
                <w:i w:val="0"/>
                <w:color w:val="000000"/>
                <w:sz w:val="17"/>
              </w:rPr>
              <w:t>Esperia Energy (Tseri 2-A)</w:t>
            </w:r>
          </w:p>
        </w:tc>
        <w:tc>
          <w:tcPr>
            <w:tcW w:w="793" w:type="dxa"/>
          </w:tcPr>
          <w:p>
            <w:pPr>
              <w:jc w:val="center"/>
            </w:pPr>
            <w:r>
              <w:rPr>
                <w:rFonts w:ascii="Calibri" w:hAnsi="Calibri"/>
                <w:b w:val="0"/>
                <w:i w:val="0"/>
                <w:color w:val="000000"/>
                <w:sz w:val="17"/>
              </w:rPr>
              <w:t>Nicosia</w:t>
            </w:r>
          </w:p>
        </w:tc>
        <w:tc>
          <w:tcPr>
            <w:tcW w:w="567" w:type="dxa"/>
          </w:tcPr>
          <w:p>
            <w:pPr>
              <w:jc w:val="right"/>
            </w:pPr>
            <w:r>
              <w:rPr>
                <w:rFonts w:ascii="Calibri" w:hAnsi="Calibri"/>
                <w:b w:val="0"/>
                <w:i w:val="0"/>
                <w:color w:val="000000"/>
                <w:sz w:val="17"/>
              </w:rPr>
              <w:t>2.75</w:t>
            </w:r>
          </w:p>
        </w:tc>
        <w:tc>
          <w:tcPr>
            <w:tcW w:w="567" w:type="dxa"/>
          </w:tcPr>
          <w:p>
            <w:pPr>
              <w:jc w:val="right"/>
            </w:pPr>
            <w:r>
              <w:rPr>
                <w:rFonts w:ascii="Calibri" w:hAnsi="Calibri"/>
                <w:b w:val="0"/>
                <w:i w:val="0"/>
                <w:color w:val="000000"/>
                <w:sz w:val="17"/>
              </w:rPr>
              <w:t>10.0</w:t>
            </w:r>
          </w:p>
        </w:tc>
        <w:tc>
          <w:tcPr>
            <w:tcW w:w="1020" w:type="dxa"/>
          </w:tcPr>
          <w:p>
            <w:pPr>
              <w:jc w:val="center"/>
            </w:pPr>
            <w:r>
              <w:rPr>
                <w:rFonts w:ascii="Calibri" w:hAnsi="Calibri"/>
                <w:b w:val="0"/>
                <w:i w:val="0"/>
                <w:color w:val="000000"/>
                <w:sz w:val="17"/>
              </w:rPr>
              <w:t>Q3 2026</w:t>
            </w:r>
          </w:p>
        </w:tc>
        <w:tc>
          <w:tcPr>
            <w:tcW w:w="1134" w:type="dxa"/>
          </w:tcPr>
          <w:p>
            <w:pPr>
              <w:jc w:val="center"/>
            </w:pPr>
            <w:r>
              <w:rPr>
                <w:rFonts w:ascii="Calibri" w:hAnsi="Calibri"/>
                <w:b w:val="0"/>
                <w:i w:val="0"/>
                <w:color w:val="000000"/>
                <w:sz w:val="17"/>
              </w:rPr>
              <w:t>Fully licensed</w:t>
            </w:r>
          </w:p>
        </w:tc>
        <w:tc>
          <w:tcPr>
            <w:tcW w:w="1134" w:type="dxa"/>
          </w:tcPr>
          <w:p>
            <w:pPr>
              <w:jc w:val="right"/>
            </w:pPr>
            <w:r>
              <w:rPr>
                <w:rFonts w:ascii="Calibri" w:hAnsi="Calibri"/>
                <w:b w:val="0"/>
                <w:i w:val="0"/>
                <w:color w:val="000000"/>
                <w:sz w:val="17"/>
              </w:rPr>
              <w:t>€1,206,300*</w:t>
            </w:r>
          </w:p>
        </w:tc>
      </w:tr>
      <w:tr>
        <w:tc>
          <w:tcPr>
            <w:tcW w:w="2154" w:type="dxa"/>
          </w:tcPr>
          <w:p>
            <w:pPr>
              <w:jc w:val="left"/>
            </w:pPr>
            <w:r>
              <w:rPr>
                <w:rFonts w:ascii="Calibri" w:hAnsi="Calibri"/>
                <w:b w:val="0"/>
                <w:i w:val="0"/>
                <w:color w:val="000000"/>
                <w:sz w:val="17"/>
              </w:rPr>
              <w:t>Esperia Energy (Tseri 3)</w:t>
            </w:r>
          </w:p>
        </w:tc>
        <w:tc>
          <w:tcPr>
            <w:tcW w:w="793" w:type="dxa"/>
          </w:tcPr>
          <w:p>
            <w:pPr>
              <w:jc w:val="center"/>
            </w:pPr>
            <w:r>
              <w:rPr>
                <w:rFonts w:ascii="Calibri" w:hAnsi="Calibri"/>
                <w:b w:val="0"/>
                <w:i w:val="0"/>
                <w:color w:val="000000"/>
                <w:sz w:val="17"/>
              </w:rPr>
              <w:t>Nicosia</w:t>
            </w:r>
          </w:p>
        </w:tc>
        <w:tc>
          <w:tcPr>
            <w:tcW w:w="567" w:type="dxa"/>
          </w:tcPr>
          <w:p>
            <w:pPr>
              <w:jc w:val="right"/>
            </w:pPr>
            <w:r>
              <w:rPr>
                <w:rFonts w:ascii="Calibri" w:hAnsi="Calibri"/>
                <w:b w:val="0"/>
                <w:i w:val="0"/>
                <w:color w:val="000000"/>
                <w:sz w:val="17"/>
              </w:rPr>
              <w:t>4.75</w:t>
            </w:r>
          </w:p>
        </w:tc>
        <w:tc>
          <w:tcPr>
            <w:tcW w:w="567" w:type="dxa"/>
          </w:tcPr>
          <w:p>
            <w:pPr>
              <w:jc w:val="right"/>
            </w:pPr>
            <w:r>
              <w:rPr>
                <w:rFonts w:ascii="Calibri" w:hAnsi="Calibri"/>
                <w:b w:val="0"/>
                <w:i w:val="0"/>
                <w:color w:val="000000"/>
                <w:sz w:val="17"/>
              </w:rPr>
              <w:t>20.0</w:t>
            </w:r>
          </w:p>
        </w:tc>
        <w:tc>
          <w:tcPr>
            <w:tcW w:w="1020" w:type="dxa"/>
          </w:tcPr>
          <w:p>
            <w:pPr>
              <w:jc w:val="center"/>
            </w:pPr>
            <w:r>
              <w:rPr>
                <w:rFonts w:ascii="Calibri" w:hAnsi="Calibri"/>
                <w:b w:val="0"/>
                <w:i w:val="0"/>
                <w:color w:val="000000"/>
                <w:sz w:val="17"/>
              </w:rPr>
              <w:t>Q3 2026</w:t>
            </w:r>
          </w:p>
        </w:tc>
        <w:tc>
          <w:tcPr>
            <w:tcW w:w="1134" w:type="dxa"/>
          </w:tcPr>
          <w:p>
            <w:pPr>
              <w:jc w:val="center"/>
            </w:pPr>
            <w:r>
              <w:rPr>
                <w:rFonts w:ascii="Calibri" w:hAnsi="Calibri"/>
                <w:b w:val="0"/>
                <w:i w:val="0"/>
                <w:color w:val="000000"/>
                <w:sz w:val="17"/>
              </w:rPr>
              <w:t>Fully licensed</w:t>
            </w:r>
          </w:p>
        </w:tc>
        <w:tc>
          <w:tcPr>
            <w:tcW w:w="1134" w:type="dxa"/>
          </w:tcPr>
          <w:p>
            <w:pPr>
              <w:jc w:val="right"/>
            </w:pPr>
            <w:r>
              <w:rPr>
                <w:rFonts w:ascii="Calibri" w:hAnsi="Calibri"/>
                <w:b w:val="0"/>
                <w:i w:val="0"/>
                <w:color w:val="000000"/>
                <w:sz w:val="17"/>
              </w:rPr>
              <w:t>€2,238,000*</w:t>
            </w:r>
          </w:p>
        </w:tc>
      </w:tr>
      <w:tr>
        <w:tc>
          <w:tcPr>
            <w:tcW w:w="2154" w:type="dxa"/>
          </w:tcPr>
          <w:p>
            <w:pPr>
              <w:jc w:val="left"/>
            </w:pPr>
            <w:r>
              <w:rPr>
                <w:rFonts w:ascii="Calibri" w:hAnsi="Calibri"/>
                <w:b w:val="0"/>
                <w:i w:val="0"/>
                <w:color w:val="000000"/>
                <w:sz w:val="17"/>
              </w:rPr>
              <w:t>Esperia Energy (Famagusta)</w:t>
            </w:r>
          </w:p>
        </w:tc>
        <w:tc>
          <w:tcPr>
            <w:tcW w:w="793" w:type="dxa"/>
          </w:tcPr>
          <w:p>
            <w:pPr>
              <w:jc w:val="center"/>
            </w:pPr>
            <w:r>
              <w:rPr>
                <w:rFonts w:ascii="Calibri" w:hAnsi="Calibri"/>
                <w:b w:val="0"/>
                <w:i w:val="0"/>
                <w:color w:val="000000"/>
                <w:sz w:val="17"/>
              </w:rPr>
              <w:t>Famagusta</w:t>
            </w:r>
          </w:p>
        </w:tc>
        <w:tc>
          <w:tcPr>
            <w:tcW w:w="567" w:type="dxa"/>
          </w:tcPr>
          <w:p>
            <w:pPr>
              <w:jc w:val="right"/>
            </w:pPr>
            <w:r>
              <w:rPr>
                <w:rFonts w:ascii="Calibri" w:hAnsi="Calibri"/>
                <w:b w:val="0"/>
                <w:i w:val="0"/>
                <w:color w:val="000000"/>
                <w:sz w:val="17"/>
              </w:rPr>
              <w:t>6.50</w:t>
            </w:r>
          </w:p>
        </w:tc>
        <w:tc>
          <w:tcPr>
            <w:tcW w:w="567" w:type="dxa"/>
          </w:tcPr>
          <w:p>
            <w:pPr>
              <w:jc w:val="right"/>
            </w:pPr>
            <w:r>
              <w:rPr>
                <w:rFonts w:ascii="Calibri" w:hAnsi="Calibri"/>
                <w:b w:val="0"/>
                <w:i w:val="0"/>
                <w:color w:val="000000"/>
                <w:sz w:val="17"/>
              </w:rPr>
              <w:t>20.0</w:t>
            </w:r>
          </w:p>
        </w:tc>
        <w:tc>
          <w:tcPr>
            <w:tcW w:w="1020" w:type="dxa"/>
          </w:tcPr>
          <w:p>
            <w:pPr>
              <w:jc w:val="center"/>
            </w:pPr>
            <w:r>
              <w:rPr>
                <w:rFonts w:ascii="Calibri" w:hAnsi="Calibri"/>
                <w:b w:val="0"/>
                <w:i w:val="0"/>
                <w:color w:val="000000"/>
                <w:sz w:val="17"/>
              </w:rPr>
              <w:t>Q4 2026</w:t>
            </w:r>
          </w:p>
        </w:tc>
        <w:tc>
          <w:tcPr>
            <w:tcW w:w="1134" w:type="dxa"/>
          </w:tcPr>
          <w:p>
            <w:pPr>
              <w:jc w:val="center"/>
            </w:pPr>
            <w:r>
              <w:rPr>
                <w:rFonts w:ascii="Calibri" w:hAnsi="Calibri"/>
                <w:b w:val="0"/>
                <w:i w:val="0"/>
                <w:color w:val="000000"/>
                <w:sz w:val="17"/>
              </w:rPr>
              <w:t>Per EPC schedule</w:t>
            </w:r>
          </w:p>
        </w:tc>
        <w:tc>
          <w:tcPr>
            <w:tcW w:w="1134" w:type="dxa"/>
          </w:tcPr>
          <w:p>
            <w:pPr>
              <w:jc w:val="right"/>
            </w:pPr>
            <w:r>
              <w:rPr>
                <w:rFonts w:ascii="Calibri" w:hAnsi="Calibri"/>
                <w:b w:val="0"/>
                <w:i w:val="0"/>
                <w:color w:val="000000"/>
                <w:sz w:val="17"/>
              </w:rPr>
              <w:t>€2,374,920*</w:t>
            </w:r>
          </w:p>
        </w:tc>
      </w:tr>
      <w:tr>
        <w:tc>
          <w:tcPr>
            <w:shd w:val="clear" w:color="auto" w:fill="1A365D"/>
            <w:tcW w:w="2154" w:type="dxa"/>
          </w:tcPr>
          <w:p>
            <w:pPr>
              <w:jc w:val="left"/>
            </w:pPr>
            <w:r>
              <w:rPr>
                <w:rFonts w:ascii="Calibri" w:hAnsi="Calibri"/>
                <w:b/>
                <w:i w:val="0"/>
                <w:color w:val="FFFFFF"/>
                <w:sz w:val="17"/>
              </w:rPr>
              <w:t>Batch 1 — 2026 — Subtotal</w:t>
            </w:r>
          </w:p>
        </w:tc>
        <w:tc>
          <w:tcPr>
            <w:shd w:val="clear" w:color="auto" w:fill="1A365D"/>
            <w:tcW w:w="793" w:type="dxa"/>
          </w:tcPr>
          <w:p>
            <w:pPr>
              <w:jc w:val="center"/>
            </w:pPr>
            <w:r>
              <w:rPr>
                <w:rFonts w:ascii="Calibri" w:hAnsi="Calibri"/>
                <w:b/>
                <w:i w:val="0"/>
                <w:color w:val="FFFFFF"/>
                <w:sz w:val="17"/>
              </w:rPr>
            </w:r>
          </w:p>
        </w:tc>
        <w:tc>
          <w:tcPr>
            <w:shd w:val="clear" w:color="auto" w:fill="1A365D"/>
            <w:tcW w:w="567" w:type="dxa"/>
          </w:tcPr>
          <w:p>
            <w:pPr>
              <w:jc w:val="right"/>
            </w:pPr>
            <w:r>
              <w:rPr>
                <w:rFonts w:ascii="Calibri" w:hAnsi="Calibri"/>
                <w:b/>
                <w:i w:val="0"/>
                <w:color w:val="FFFFFF"/>
                <w:sz w:val="17"/>
              </w:rPr>
              <w:t>21.20</w:t>
            </w:r>
          </w:p>
        </w:tc>
        <w:tc>
          <w:tcPr>
            <w:shd w:val="clear" w:color="auto" w:fill="1A365D"/>
            <w:tcW w:w="567" w:type="dxa"/>
          </w:tcPr>
          <w:p>
            <w:pPr>
              <w:jc w:val="right"/>
            </w:pPr>
            <w:r>
              <w:rPr>
                <w:rFonts w:ascii="Calibri" w:hAnsi="Calibri"/>
                <w:b/>
                <w:i w:val="0"/>
                <w:color w:val="FFFFFF"/>
                <w:sz w:val="17"/>
              </w:rPr>
              <w:t>75.0</w:t>
            </w:r>
          </w:p>
        </w:tc>
        <w:tc>
          <w:tcPr>
            <w:shd w:val="clear" w:color="auto" w:fill="1A365D"/>
            <w:tcW w:w="1020" w:type="dxa"/>
          </w:tcPr>
          <w:p>
            <w:pPr>
              <w:jc w:val="center"/>
            </w:pPr>
            <w:r>
              <w:rPr>
                <w:rFonts w:ascii="Calibri" w:hAnsi="Calibri"/>
                <w:b/>
                <w:i w:val="0"/>
                <w:color w:val="FFFFFF"/>
                <w:sz w:val="17"/>
              </w:rPr>
            </w:r>
          </w:p>
        </w:tc>
        <w:tc>
          <w:tcPr>
            <w:shd w:val="clear" w:color="auto" w:fill="1A365D"/>
            <w:tcW w:w="1134" w:type="dxa"/>
          </w:tcPr>
          <w:p>
            <w:pPr>
              <w:jc w:val="center"/>
            </w:pPr>
            <w:r>
              <w:rPr>
                <w:rFonts w:ascii="Calibri" w:hAnsi="Calibri"/>
                <w:b/>
                <w:i w:val="0"/>
                <w:color w:val="FFFFFF"/>
                <w:sz w:val="17"/>
              </w:rPr>
            </w:r>
          </w:p>
        </w:tc>
        <w:tc>
          <w:tcPr>
            <w:shd w:val="clear" w:color="auto" w:fill="1A365D"/>
            <w:tcW w:w="1134" w:type="dxa"/>
          </w:tcPr>
          <w:p>
            <w:pPr>
              <w:jc w:val="right"/>
            </w:pPr>
            <w:r>
              <w:rPr>
                <w:rFonts w:ascii="Calibri" w:hAnsi="Calibri"/>
                <w:b/>
                <w:i w:val="0"/>
                <w:color w:val="FFFFFF"/>
                <w:sz w:val="17"/>
              </w:rPr>
              <w:t>€8,892,445</w:t>
            </w:r>
          </w:p>
        </w:tc>
      </w:tr>
      <w:tr>
        <w:tc>
          <w:tcPr>
            <w:tcW w:w="2154" w:type="dxa"/>
          </w:tcPr>
          <w:p>
            <w:pPr>
              <w:jc w:val="left"/>
            </w:pPr>
            <w:r>
              <w:rPr>
                <w:rFonts w:ascii="Calibri" w:hAnsi="Calibri"/>
                <w:b w:val="0"/>
                <w:i w:val="0"/>
                <w:color w:val="000000"/>
                <w:sz w:val="17"/>
              </w:rPr>
              <w:t>Esperia Green Energy (Limassol)</w:t>
            </w:r>
          </w:p>
        </w:tc>
        <w:tc>
          <w:tcPr>
            <w:tcW w:w="793" w:type="dxa"/>
          </w:tcPr>
          <w:p>
            <w:pPr>
              <w:jc w:val="center"/>
            </w:pPr>
            <w:r>
              <w:rPr>
                <w:rFonts w:ascii="Calibri" w:hAnsi="Calibri"/>
                <w:b w:val="0"/>
                <w:i w:val="0"/>
                <w:color w:val="000000"/>
                <w:sz w:val="17"/>
              </w:rPr>
              <w:t>Limassol</w:t>
            </w:r>
          </w:p>
        </w:tc>
        <w:tc>
          <w:tcPr>
            <w:tcW w:w="567" w:type="dxa"/>
          </w:tcPr>
          <w:p>
            <w:pPr>
              <w:jc w:val="right"/>
            </w:pPr>
            <w:r>
              <w:rPr>
                <w:rFonts w:ascii="Calibri" w:hAnsi="Calibri"/>
                <w:b w:val="0"/>
                <w:i w:val="0"/>
                <w:color w:val="000000"/>
                <w:sz w:val="17"/>
              </w:rPr>
              <w:t>8.00</w:t>
            </w:r>
          </w:p>
        </w:tc>
        <w:tc>
          <w:tcPr>
            <w:tcW w:w="567" w:type="dxa"/>
          </w:tcPr>
          <w:p>
            <w:pPr>
              <w:jc w:val="right"/>
            </w:pPr>
            <w:r>
              <w:rPr>
                <w:rFonts w:ascii="Calibri" w:hAnsi="Calibri"/>
                <w:b w:val="0"/>
                <w:i w:val="0"/>
                <w:color w:val="000000"/>
                <w:sz w:val="17"/>
              </w:rPr>
              <w:t>60.0</w:t>
            </w:r>
          </w:p>
        </w:tc>
        <w:tc>
          <w:tcPr>
            <w:tcW w:w="1020" w:type="dxa"/>
          </w:tcPr>
          <w:p>
            <w:pPr>
              <w:jc w:val="center"/>
            </w:pPr>
            <w:r>
              <w:rPr>
                <w:rFonts w:ascii="Calibri" w:hAnsi="Calibri"/>
                <w:b w:val="0"/>
                <w:i w:val="0"/>
                <w:color w:val="000000"/>
                <w:sz w:val="17"/>
              </w:rPr>
              <w:t>Q2 2027</w:t>
            </w:r>
          </w:p>
        </w:tc>
        <w:tc>
          <w:tcPr>
            <w:tcW w:w="1134" w:type="dxa"/>
          </w:tcPr>
          <w:p>
            <w:pPr>
              <w:jc w:val="center"/>
            </w:pPr>
            <w:r>
              <w:rPr>
                <w:rFonts w:ascii="Calibri" w:hAnsi="Calibri"/>
                <w:b w:val="0"/>
                <w:i w:val="0"/>
                <w:color w:val="000000"/>
                <w:sz w:val="17"/>
              </w:rPr>
              <w:t>Per EPC schedule</w:t>
            </w:r>
          </w:p>
        </w:tc>
        <w:tc>
          <w:tcPr>
            <w:tcW w:w="1134" w:type="dxa"/>
          </w:tcPr>
          <w:p>
            <w:pPr>
              <w:jc w:val="right"/>
            </w:pPr>
            <w:r>
              <w:rPr>
                <w:rFonts w:ascii="Calibri" w:hAnsi="Calibri"/>
                <w:b w:val="0"/>
                <w:i w:val="0"/>
                <w:color w:val="000000"/>
                <w:sz w:val="17"/>
              </w:rPr>
              <w:t>€5,644,044</w:t>
            </w:r>
          </w:p>
        </w:tc>
      </w:tr>
      <w:tr>
        <w:tc>
          <w:tcPr>
            <w:tcW w:w="2154" w:type="dxa"/>
          </w:tcPr>
          <w:p>
            <w:pPr>
              <w:jc w:val="left"/>
            </w:pPr>
            <w:r>
              <w:rPr>
                <w:rFonts w:ascii="Calibri" w:hAnsi="Calibri"/>
                <w:b w:val="0"/>
                <w:i w:val="0"/>
                <w:color w:val="000000"/>
                <w:sz w:val="17"/>
              </w:rPr>
              <w:t>Esperia Energy (Tseri 2-B)</w:t>
            </w:r>
          </w:p>
        </w:tc>
        <w:tc>
          <w:tcPr>
            <w:tcW w:w="793" w:type="dxa"/>
          </w:tcPr>
          <w:p>
            <w:pPr>
              <w:jc w:val="center"/>
            </w:pPr>
            <w:r>
              <w:rPr>
                <w:rFonts w:ascii="Calibri" w:hAnsi="Calibri"/>
                <w:b w:val="0"/>
                <w:i w:val="0"/>
                <w:color w:val="000000"/>
                <w:sz w:val="17"/>
              </w:rPr>
              <w:t>Nicosia</w:t>
            </w:r>
          </w:p>
        </w:tc>
        <w:tc>
          <w:tcPr>
            <w:tcW w:w="567" w:type="dxa"/>
          </w:tcPr>
          <w:p>
            <w:pPr>
              <w:jc w:val="right"/>
            </w:pPr>
            <w:r>
              <w:rPr>
                <w:rFonts w:ascii="Calibri" w:hAnsi="Calibri"/>
                <w:b w:val="0"/>
                <w:i w:val="0"/>
                <w:color w:val="000000"/>
                <w:sz w:val="17"/>
              </w:rPr>
              <w:t>7.99</w:t>
            </w:r>
          </w:p>
        </w:tc>
        <w:tc>
          <w:tcPr>
            <w:tcW w:w="567" w:type="dxa"/>
          </w:tcPr>
          <w:p>
            <w:pPr>
              <w:jc w:val="right"/>
            </w:pPr>
            <w:r>
              <w:rPr>
                <w:rFonts w:ascii="Calibri" w:hAnsi="Calibri"/>
                <w:b w:val="0"/>
                <w:i w:val="0"/>
                <w:color w:val="000000"/>
                <w:sz w:val="17"/>
              </w:rPr>
              <w:t>30.0</w:t>
            </w:r>
          </w:p>
        </w:tc>
        <w:tc>
          <w:tcPr>
            <w:tcW w:w="1020" w:type="dxa"/>
          </w:tcPr>
          <w:p>
            <w:pPr>
              <w:jc w:val="center"/>
            </w:pPr>
            <w:r>
              <w:rPr>
                <w:rFonts w:ascii="Calibri" w:hAnsi="Calibri"/>
                <w:b w:val="0"/>
                <w:i w:val="0"/>
                <w:color w:val="000000"/>
                <w:sz w:val="17"/>
              </w:rPr>
              <w:t>2027</w:t>
            </w:r>
          </w:p>
        </w:tc>
        <w:tc>
          <w:tcPr>
            <w:tcW w:w="1134" w:type="dxa"/>
          </w:tcPr>
          <w:p>
            <w:pPr>
              <w:jc w:val="center"/>
            </w:pPr>
            <w:r>
              <w:rPr>
                <w:rFonts w:ascii="Calibri" w:hAnsi="Calibri"/>
                <w:b w:val="0"/>
                <w:i w:val="0"/>
                <w:color w:val="000000"/>
                <w:sz w:val="17"/>
              </w:rPr>
              <w:t>~9 months from licensing</w:t>
            </w:r>
          </w:p>
        </w:tc>
        <w:tc>
          <w:tcPr>
            <w:tcW w:w="1134" w:type="dxa"/>
          </w:tcPr>
          <w:p>
            <w:pPr>
              <w:jc w:val="right"/>
            </w:pPr>
            <w:r>
              <w:rPr>
                <w:rFonts w:ascii="Calibri" w:hAnsi="Calibri"/>
                <w:b w:val="0"/>
                <w:i w:val="0"/>
                <w:color w:val="000000"/>
                <w:sz w:val="17"/>
              </w:rPr>
              <w:t>€3,687,870*</w:t>
            </w:r>
          </w:p>
        </w:tc>
      </w:tr>
      <w:tr>
        <w:tc>
          <w:tcPr>
            <w:tcW w:w="2154" w:type="dxa"/>
          </w:tcPr>
          <w:p>
            <w:pPr>
              <w:jc w:val="left"/>
            </w:pPr>
            <w:r>
              <w:rPr>
                <w:rFonts w:ascii="Calibri" w:hAnsi="Calibri"/>
                <w:b w:val="0"/>
                <w:i w:val="0"/>
                <w:color w:val="000000"/>
                <w:sz w:val="17"/>
              </w:rPr>
              <w:t>Esperia Energy (Tseri 2-C)</w:t>
            </w:r>
          </w:p>
        </w:tc>
        <w:tc>
          <w:tcPr>
            <w:tcW w:w="793" w:type="dxa"/>
          </w:tcPr>
          <w:p>
            <w:pPr>
              <w:jc w:val="center"/>
            </w:pPr>
            <w:r>
              <w:rPr>
                <w:rFonts w:ascii="Calibri" w:hAnsi="Calibri"/>
                <w:b w:val="0"/>
                <w:i w:val="0"/>
                <w:color w:val="000000"/>
                <w:sz w:val="17"/>
              </w:rPr>
              <w:t>Nicosia</w:t>
            </w:r>
          </w:p>
        </w:tc>
        <w:tc>
          <w:tcPr>
            <w:tcW w:w="567" w:type="dxa"/>
          </w:tcPr>
          <w:p>
            <w:pPr>
              <w:jc w:val="right"/>
            </w:pPr>
            <w:r>
              <w:rPr>
                <w:rFonts w:ascii="Calibri" w:hAnsi="Calibri"/>
                <w:b w:val="0"/>
                <w:i w:val="0"/>
                <w:color w:val="000000"/>
                <w:sz w:val="17"/>
              </w:rPr>
              <w:t>6.30</w:t>
            </w:r>
          </w:p>
        </w:tc>
        <w:tc>
          <w:tcPr>
            <w:tcW w:w="567" w:type="dxa"/>
          </w:tcPr>
          <w:p>
            <w:pPr>
              <w:jc w:val="right"/>
            </w:pPr>
            <w:r>
              <w:rPr>
                <w:rFonts w:ascii="Calibri" w:hAnsi="Calibri"/>
                <w:b w:val="0"/>
                <w:i w:val="0"/>
                <w:color w:val="000000"/>
                <w:sz w:val="17"/>
              </w:rPr>
              <w:t>25.0</w:t>
            </w:r>
          </w:p>
        </w:tc>
        <w:tc>
          <w:tcPr>
            <w:tcW w:w="1020" w:type="dxa"/>
          </w:tcPr>
          <w:p>
            <w:pPr>
              <w:jc w:val="center"/>
            </w:pPr>
            <w:r>
              <w:rPr>
                <w:rFonts w:ascii="Calibri" w:hAnsi="Calibri"/>
                <w:b w:val="0"/>
                <w:i w:val="0"/>
                <w:color w:val="000000"/>
                <w:sz w:val="17"/>
              </w:rPr>
              <w:t>2027</w:t>
            </w:r>
          </w:p>
        </w:tc>
        <w:tc>
          <w:tcPr>
            <w:tcW w:w="1134" w:type="dxa"/>
          </w:tcPr>
          <w:p>
            <w:pPr>
              <w:jc w:val="center"/>
            </w:pPr>
            <w:r>
              <w:rPr>
                <w:rFonts w:ascii="Calibri" w:hAnsi="Calibri"/>
                <w:b w:val="0"/>
                <w:i w:val="0"/>
                <w:color w:val="000000"/>
                <w:sz w:val="17"/>
              </w:rPr>
              <w:t>Licence ~6 months</w:t>
            </w:r>
          </w:p>
        </w:tc>
        <w:tc>
          <w:tcPr>
            <w:tcW w:w="1134" w:type="dxa"/>
          </w:tcPr>
          <w:p>
            <w:pPr>
              <w:jc w:val="right"/>
            </w:pPr>
            <w:r>
              <w:rPr>
                <w:rFonts w:ascii="Calibri" w:hAnsi="Calibri"/>
                <w:b w:val="0"/>
                <w:i w:val="0"/>
                <w:color w:val="000000"/>
                <w:sz w:val="17"/>
              </w:rPr>
              <w:t>€3,073,225*</w:t>
            </w:r>
          </w:p>
        </w:tc>
      </w:tr>
      <w:tr>
        <w:tc>
          <w:tcPr>
            <w:shd w:val="clear" w:color="auto" w:fill="1A365D"/>
            <w:tcW w:w="2154" w:type="dxa"/>
          </w:tcPr>
          <w:p>
            <w:pPr>
              <w:jc w:val="left"/>
            </w:pPr>
            <w:r>
              <w:rPr>
                <w:rFonts w:ascii="Calibri" w:hAnsi="Calibri"/>
                <w:b/>
                <w:i w:val="0"/>
                <w:color w:val="FFFFFF"/>
                <w:sz w:val="17"/>
              </w:rPr>
              <w:t>Batch 2 — 2027 — Subtotal</w:t>
            </w:r>
          </w:p>
        </w:tc>
        <w:tc>
          <w:tcPr>
            <w:shd w:val="clear" w:color="auto" w:fill="1A365D"/>
            <w:tcW w:w="793" w:type="dxa"/>
          </w:tcPr>
          <w:p>
            <w:pPr>
              <w:jc w:val="center"/>
            </w:pPr>
            <w:r>
              <w:rPr>
                <w:rFonts w:ascii="Calibri" w:hAnsi="Calibri"/>
                <w:b/>
                <w:i w:val="0"/>
                <w:color w:val="FFFFFF"/>
                <w:sz w:val="17"/>
              </w:rPr>
            </w:r>
          </w:p>
        </w:tc>
        <w:tc>
          <w:tcPr>
            <w:shd w:val="clear" w:color="auto" w:fill="1A365D"/>
            <w:tcW w:w="567" w:type="dxa"/>
          </w:tcPr>
          <w:p>
            <w:pPr>
              <w:jc w:val="right"/>
            </w:pPr>
            <w:r>
              <w:rPr>
                <w:rFonts w:ascii="Calibri" w:hAnsi="Calibri"/>
                <w:b/>
                <w:i w:val="0"/>
                <w:color w:val="FFFFFF"/>
                <w:sz w:val="17"/>
              </w:rPr>
              <w:t>22.29</w:t>
            </w:r>
          </w:p>
        </w:tc>
        <w:tc>
          <w:tcPr>
            <w:shd w:val="clear" w:color="auto" w:fill="1A365D"/>
            <w:tcW w:w="567" w:type="dxa"/>
          </w:tcPr>
          <w:p>
            <w:pPr>
              <w:jc w:val="right"/>
            </w:pPr>
            <w:r>
              <w:rPr>
                <w:rFonts w:ascii="Calibri" w:hAnsi="Calibri"/>
                <w:b/>
                <w:i w:val="0"/>
                <w:color w:val="FFFFFF"/>
                <w:sz w:val="17"/>
              </w:rPr>
              <w:t>115.0</w:t>
            </w:r>
          </w:p>
        </w:tc>
        <w:tc>
          <w:tcPr>
            <w:shd w:val="clear" w:color="auto" w:fill="1A365D"/>
            <w:tcW w:w="1020" w:type="dxa"/>
          </w:tcPr>
          <w:p>
            <w:pPr>
              <w:jc w:val="center"/>
            </w:pPr>
            <w:r>
              <w:rPr>
                <w:rFonts w:ascii="Calibri" w:hAnsi="Calibri"/>
                <w:b/>
                <w:i w:val="0"/>
                <w:color w:val="FFFFFF"/>
                <w:sz w:val="17"/>
              </w:rPr>
            </w:r>
          </w:p>
        </w:tc>
        <w:tc>
          <w:tcPr>
            <w:shd w:val="clear" w:color="auto" w:fill="1A365D"/>
            <w:tcW w:w="1134" w:type="dxa"/>
          </w:tcPr>
          <w:p>
            <w:pPr>
              <w:jc w:val="center"/>
            </w:pPr>
            <w:r>
              <w:rPr>
                <w:rFonts w:ascii="Calibri" w:hAnsi="Calibri"/>
                <w:b/>
                <w:i w:val="0"/>
                <w:color w:val="FFFFFF"/>
                <w:sz w:val="17"/>
              </w:rPr>
            </w:r>
          </w:p>
        </w:tc>
        <w:tc>
          <w:tcPr>
            <w:shd w:val="clear" w:color="auto" w:fill="1A365D"/>
            <w:tcW w:w="1134" w:type="dxa"/>
          </w:tcPr>
          <w:p>
            <w:pPr>
              <w:jc w:val="right"/>
            </w:pPr>
            <w:r>
              <w:rPr>
                <w:rFonts w:ascii="Calibri" w:hAnsi="Calibri"/>
                <w:b/>
                <w:i w:val="0"/>
                <w:color w:val="FFFFFF"/>
                <w:sz w:val="17"/>
              </w:rPr>
              <w:t>€12,405,139</w:t>
            </w:r>
          </w:p>
        </w:tc>
      </w:tr>
      <w:tr>
        <w:tc>
          <w:tcPr>
            <w:tcW w:w="2154" w:type="dxa"/>
          </w:tcPr>
          <w:p>
            <w:pPr>
              <w:jc w:val="left"/>
            </w:pPr>
            <w:r>
              <w:rPr>
                <w:rFonts w:ascii="Calibri" w:hAnsi="Calibri"/>
                <w:b w:val="0"/>
                <w:i w:val="0"/>
                <w:color w:val="000000"/>
                <w:sz w:val="17"/>
              </w:rPr>
              <w:t>Esperia Energy (Frenaros)</w:t>
            </w:r>
          </w:p>
        </w:tc>
        <w:tc>
          <w:tcPr>
            <w:tcW w:w="793" w:type="dxa"/>
          </w:tcPr>
          <w:p>
            <w:pPr>
              <w:jc w:val="center"/>
            </w:pPr>
            <w:r>
              <w:rPr>
                <w:rFonts w:ascii="Calibri" w:hAnsi="Calibri"/>
                <w:b w:val="0"/>
                <w:i w:val="0"/>
                <w:color w:val="000000"/>
                <w:sz w:val="17"/>
              </w:rPr>
              <w:t>Famagusta</w:t>
            </w:r>
          </w:p>
        </w:tc>
        <w:tc>
          <w:tcPr>
            <w:tcW w:w="567" w:type="dxa"/>
          </w:tcPr>
          <w:p>
            <w:pPr>
              <w:jc w:val="right"/>
            </w:pPr>
            <w:r>
              <w:rPr>
                <w:rFonts w:ascii="Calibri" w:hAnsi="Calibri"/>
                <w:b w:val="0"/>
                <w:i w:val="0"/>
                <w:color w:val="000000"/>
                <w:sz w:val="17"/>
              </w:rPr>
              <w:t>25.00</w:t>
            </w:r>
          </w:p>
        </w:tc>
        <w:tc>
          <w:tcPr>
            <w:tcW w:w="567" w:type="dxa"/>
          </w:tcPr>
          <w:p>
            <w:pPr>
              <w:jc w:val="right"/>
            </w:pPr>
            <w:r>
              <w:rPr>
                <w:rFonts w:ascii="Calibri" w:hAnsi="Calibri"/>
                <w:b w:val="0"/>
                <w:i w:val="0"/>
                <w:color w:val="000000"/>
                <w:sz w:val="17"/>
              </w:rPr>
              <w:t>100.0</w:t>
            </w:r>
          </w:p>
        </w:tc>
        <w:tc>
          <w:tcPr>
            <w:tcW w:w="1020" w:type="dxa"/>
          </w:tcPr>
          <w:p>
            <w:pPr>
              <w:jc w:val="center"/>
            </w:pPr>
            <w:r>
              <w:rPr>
                <w:rFonts w:ascii="Calibri" w:hAnsi="Calibri"/>
                <w:b w:val="0"/>
                <w:i w:val="0"/>
                <w:color w:val="000000"/>
                <w:sz w:val="17"/>
              </w:rPr>
              <w:t>Q2 2028</w:t>
            </w:r>
          </w:p>
        </w:tc>
        <w:tc>
          <w:tcPr>
            <w:tcW w:w="1134" w:type="dxa"/>
          </w:tcPr>
          <w:p>
            <w:pPr>
              <w:jc w:val="center"/>
            </w:pPr>
            <w:r>
              <w:rPr>
                <w:rFonts w:ascii="Calibri" w:hAnsi="Calibri"/>
                <w:b w:val="0"/>
                <w:i w:val="0"/>
                <w:color w:val="000000"/>
                <w:sz w:val="17"/>
              </w:rPr>
              <w:t>Per EPC schedule</w:t>
            </w:r>
          </w:p>
        </w:tc>
        <w:tc>
          <w:tcPr>
            <w:tcW w:w="1134" w:type="dxa"/>
          </w:tcPr>
          <w:p>
            <w:pPr>
              <w:jc w:val="right"/>
            </w:pPr>
            <w:r>
              <w:rPr>
                <w:rFonts w:ascii="Calibri" w:hAnsi="Calibri"/>
                <w:b w:val="0"/>
                <w:i w:val="0"/>
                <w:color w:val="000000"/>
                <w:sz w:val="17"/>
              </w:rPr>
              <w:t>€10,088,014</w:t>
            </w:r>
          </w:p>
        </w:tc>
      </w:tr>
      <w:tr>
        <w:tc>
          <w:tcPr>
            <w:tcW w:w="2154" w:type="dxa"/>
          </w:tcPr>
          <w:p>
            <w:pPr>
              <w:jc w:val="left"/>
            </w:pPr>
            <w:r>
              <w:rPr>
                <w:rFonts w:ascii="Calibri" w:hAnsi="Calibri"/>
                <w:b w:val="0"/>
                <w:i w:val="0"/>
                <w:color w:val="000000"/>
                <w:sz w:val="17"/>
              </w:rPr>
              <w:t>Esperia Green Energy (Famagusta 2)</w:t>
            </w:r>
          </w:p>
        </w:tc>
        <w:tc>
          <w:tcPr>
            <w:tcW w:w="793" w:type="dxa"/>
          </w:tcPr>
          <w:p>
            <w:pPr>
              <w:jc w:val="center"/>
            </w:pPr>
            <w:r>
              <w:rPr>
                <w:rFonts w:ascii="Calibri" w:hAnsi="Calibri"/>
                <w:b w:val="0"/>
                <w:i w:val="0"/>
                <w:color w:val="000000"/>
                <w:sz w:val="17"/>
              </w:rPr>
              <w:t>Famagusta</w:t>
            </w:r>
          </w:p>
        </w:tc>
        <w:tc>
          <w:tcPr>
            <w:tcW w:w="567" w:type="dxa"/>
          </w:tcPr>
          <w:p>
            <w:pPr>
              <w:jc w:val="right"/>
            </w:pPr>
            <w:r>
              <w:rPr>
                <w:rFonts w:ascii="Calibri" w:hAnsi="Calibri"/>
                <w:b w:val="0"/>
                <w:i w:val="0"/>
                <w:color w:val="000000"/>
                <w:sz w:val="17"/>
              </w:rPr>
              <w:t>7.00</w:t>
            </w:r>
          </w:p>
        </w:tc>
        <w:tc>
          <w:tcPr>
            <w:tcW w:w="567" w:type="dxa"/>
          </w:tcPr>
          <w:p>
            <w:pPr>
              <w:jc w:val="right"/>
            </w:pPr>
            <w:r>
              <w:rPr>
                <w:rFonts w:ascii="Calibri" w:hAnsi="Calibri"/>
                <w:b w:val="0"/>
                <w:i w:val="0"/>
                <w:color w:val="000000"/>
                <w:sz w:val="17"/>
              </w:rPr>
              <w:t>25.0</w:t>
            </w:r>
          </w:p>
        </w:tc>
        <w:tc>
          <w:tcPr>
            <w:tcW w:w="1020" w:type="dxa"/>
          </w:tcPr>
          <w:p>
            <w:pPr>
              <w:jc w:val="center"/>
            </w:pPr>
            <w:r>
              <w:rPr>
                <w:rFonts w:ascii="Calibri" w:hAnsi="Calibri"/>
                <w:b w:val="0"/>
                <w:i w:val="0"/>
                <w:color w:val="000000"/>
                <w:sz w:val="17"/>
              </w:rPr>
              <w:t>Q2 2028</w:t>
            </w:r>
          </w:p>
        </w:tc>
        <w:tc>
          <w:tcPr>
            <w:tcW w:w="1134" w:type="dxa"/>
          </w:tcPr>
          <w:p>
            <w:pPr>
              <w:jc w:val="center"/>
            </w:pPr>
            <w:r>
              <w:rPr>
                <w:rFonts w:ascii="Calibri" w:hAnsi="Calibri"/>
                <w:b w:val="0"/>
                <w:i w:val="0"/>
                <w:color w:val="000000"/>
                <w:sz w:val="17"/>
              </w:rPr>
              <w:t>Phase 2</w:t>
            </w:r>
          </w:p>
        </w:tc>
        <w:tc>
          <w:tcPr>
            <w:tcW w:w="1134" w:type="dxa"/>
          </w:tcPr>
          <w:p>
            <w:pPr>
              <w:jc w:val="right"/>
            </w:pPr>
            <w:r>
              <w:rPr>
                <w:rFonts w:ascii="Calibri" w:hAnsi="Calibri"/>
                <w:b w:val="0"/>
                <w:i w:val="0"/>
                <w:color w:val="000000"/>
                <w:sz w:val="17"/>
              </w:rPr>
              <w:t>€3,073,225*</w:t>
            </w:r>
          </w:p>
        </w:tc>
      </w:tr>
      <w:tr>
        <w:tc>
          <w:tcPr>
            <w:shd w:val="clear" w:color="auto" w:fill="1A365D"/>
            <w:tcW w:w="2154" w:type="dxa"/>
          </w:tcPr>
          <w:p>
            <w:pPr>
              <w:jc w:val="left"/>
            </w:pPr>
            <w:r>
              <w:rPr>
                <w:rFonts w:ascii="Calibri" w:hAnsi="Calibri"/>
                <w:b/>
                <w:i w:val="0"/>
                <w:color w:val="FFFFFF"/>
                <w:sz w:val="17"/>
              </w:rPr>
              <w:t>Batch 3 — 2028 — Subtotal</w:t>
            </w:r>
          </w:p>
        </w:tc>
        <w:tc>
          <w:tcPr>
            <w:shd w:val="clear" w:color="auto" w:fill="1A365D"/>
            <w:tcW w:w="793" w:type="dxa"/>
          </w:tcPr>
          <w:p>
            <w:pPr>
              <w:jc w:val="center"/>
            </w:pPr>
            <w:r>
              <w:rPr>
                <w:rFonts w:ascii="Calibri" w:hAnsi="Calibri"/>
                <w:b/>
                <w:i w:val="0"/>
                <w:color w:val="FFFFFF"/>
                <w:sz w:val="17"/>
              </w:rPr>
            </w:r>
          </w:p>
        </w:tc>
        <w:tc>
          <w:tcPr>
            <w:shd w:val="clear" w:color="auto" w:fill="1A365D"/>
            <w:tcW w:w="567" w:type="dxa"/>
          </w:tcPr>
          <w:p>
            <w:pPr>
              <w:jc w:val="right"/>
            </w:pPr>
            <w:r>
              <w:rPr>
                <w:rFonts w:ascii="Calibri" w:hAnsi="Calibri"/>
                <w:b/>
                <w:i w:val="0"/>
                <w:color w:val="FFFFFF"/>
                <w:sz w:val="17"/>
              </w:rPr>
              <w:t>32.00</w:t>
            </w:r>
          </w:p>
        </w:tc>
        <w:tc>
          <w:tcPr>
            <w:shd w:val="clear" w:color="auto" w:fill="1A365D"/>
            <w:tcW w:w="567" w:type="dxa"/>
          </w:tcPr>
          <w:p>
            <w:pPr>
              <w:jc w:val="right"/>
            </w:pPr>
            <w:r>
              <w:rPr>
                <w:rFonts w:ascii="Calibri" w:hAnsi="Calibri"/>
                <w:b/>
                <w:i w:val="0"/>
                <w:color w:val="FFFFFF"/>
                <w:sz w:val="17"/>
              </w:rPr>
              <w:t>125.0</w:t>
            </w:r>
          </w:p>
        </w:tc>
        <w:tc>
          <w:tcPr>
            <w:shd w:val="clear" w:color="auto" w:fill="1A365D"/>
            <w:tcW w:w="1020" w:type="dxa"/>
          </w:tcPr>
          <w:p>
            <w:pPr>
              <w:jc w:val="center"/>
            </w:pPr>
            <w:r>
              <w:rPr>
                <w:rFonts w:ascii="Calibri" w:hAnsi="Calibri"/>
                <w:b/>
                <w:i w:val="0"/>
                <w:color w:val="FFFFFF"/>
                <w:sz w:val="17"/>
              </w:rPr>
            </w:r>
          </w:p>
        </w:tc>
        <w:tc>
          <w:tcPr>
            <w:shd w:val="clear" w:color="auto" w:fill="1A365D"/>
            <w:tcW w:w="1134" w:type="dxa"/>
          </w:tcPr>
          <w:p>
            <w:pPr>
              <w:jc w:val="center"/>
            </w:pPr>
            <w:r>
              <w:rPr>
                <w:rFonts w:ascii="Calibri" w:hAnsi="Calibri"/>
                <w:b/>
                <w:i w:val="0"/>
                <w:color w:val="FFFFFF"/>
                <w:sz w:val="17"/>
              </w:rPr>
            </w:r>
          </w:p>
        </w:tc>
        <w:tc>
          <w:tcPr>
            <w:shd w:val="clear" w:color="auto" w:fill="1A365D"/>
            <w:tcW w:w="1134" w:type="dxa"/>
          </w:tcPr>
          <w:p>
            <w:pPr>
              <w:jc w:val="right"/>
            </w:pPr>
            <w:r>
              <w:rPr>
                <w:rFonts w:ascii="Calibri" w:hAnsi="Calibri"/>
                <w:b/>
                <w:i w:val="0"/>
                <w:color w:val="FFFFFF"/>
                <w:sz w:val="17"/>
              </w:rPr>
              <w:t>€13,161,239</w:t>
            </w:r>
          </w:p>
        </w:tc>
      </w:tr>
      <w:tr>
        <w:tc>
          <w:tcPr>
            <w:shd w:val="clear" w:color="auto" w:fill="1A365D"/>
            <w:tcW w:w="2154" w:type="dxa"/>
          </w:tcPr>
          <w:p>
            <w:pPr>
              <w:jc w:val="left"/>
            </w:pPr>
            <w:r>
              <w:rPr>
                <w:rFonts w:ascii="Calibri" w:hAnsi="Calibri"/>
                <w:b/>
                <w:i w:val="0"/>
                <w:color w:val="FFFFFF"/>
                <w:sz w:val="17"/>
              </w:rPr>
              <w:t>TOTAL SCHEDULE 1  (9 pipeline parks)</w:t>
            </w:r>
          </w:p>
        </w:tc>
        <w:tc>
          <w:tcPr>
            <w:shd w:val="clear" w:color="auto" w:fill="1A365D"/>
            <w:tcW w:w="793" w:type="dxa"/>
          </w:tcPr>
          <w:p>
            <w:pPr>
              <w:jc w:val="center"/>
            </w:pPr>
            <w:r>
              <w:rPr>
                <w:rFonts w:ascii="Calibri" w:hAnsi="Calibri"/>
                <w:b/>
                <w:i w:val="0"/>
                <w:color w:val="FFFFFF"/>
                <w:sz w:val="17"/>
              </w:rPr>
            </w:r>
          </w:p>
        </w:tc>
        <w:tc>
          <w:tcPr>
            <w:shd w:val="clear" w:color="auto" w:fill="1A365D"/>
            <w:tcW w:w="567" w:type="dxa"/>
          </w:tcPr>
          <w:p>
            <w:pPr>
              <w:jc w:val="right"/>
            </w:pPr>
            <w:r>
              <w:rPr>
                <w:rFonts w:ascii="Calibri" w:hAnsi="Calibri"/>
                <w:b/>
                <w:i w:val="0"/>
                <w:color w:val="FFFFFF"/>
                <w:sz w:val="17"/>
              </w:rPr>
              <w:t>75.49</w:t>
            </w:r>
          </w:p>
        </w:tc>
        <w:tc>
          <w:tcPr>
            <w:shd w:val="clear" w:color="auto" w:fill="1A365D"/>
            <w:tcW w:w="567" w:type="dxa"/>
          </w:tcPr>
          <w:p>
            <w:pPr>
              <w:jc w:val="right"/>
            </w:pPr>
            <w:r>
              <w:rPr>
                <w:rFonts w:ascii="Calibri" w:hAnsi="Calibri"/>
                <w:b/>
                <w:i w:val="0"/>
                <w:color w:val="FFFFFF"/>
                <w:sz w:val="17"/>
              </w:rPr>
              <w:t>315.0</w:t>
            </w:r>
          </w:p>
        </w:tc>
        <w:tc>
          <w:tcPr>
            <w:shd w:val="clear" w:color="auto" w:fill="1A365D"/>
            <w:tcW w:w="1020" w:type="dxa"/>
          </w:tcPr>
          <w:p>
            <w:pPr>
              <w:jc w:val="center"/>
            </w:pPr>
            <w:r>
              <w:rPr>
                <w:rFonts w:ascii="Calibri" w:hAnsi="Calibri"/>
                <w:b/>
                <w:i w:val="0"/>
                <w:color w:val="FFFFFF"/>
                <w:sz w:val="17"/>
              </w:rPr>
            </w:r>
          </w:p>
        </w:tc>
        <w:tc>
          <w:tcPr>
            <w:shd w:val="clear" w:color="auto" w:fill="1A365D"/>
            <w:tcW w:w="1134" w:type="dxa"/>
          </w:tcPr>
          <w:p>
            <w:pPr>
              <w:jc w:val="center"/>
            </w:pPr>
            <w:r>
              <w:rPr>
                <w:rFonts w:ascii="Calibri" w:hAnsi="Calibri"/>
                <w:b/>
                <w:i w:val="0"/>
                <w:color w:val="FFFFFF"/>
                <w:sz w:val="17"/>
              </w:rPr>
            </w:r>
          </w:p>
        </w:tc>
        <w:tc>
          <w:tcPr>
            <w:shd w:val="clear" w:color="auto" w:fill="1A365D"/>
            <w:tcW w:w="1134" w:type="dxa"/>
          </w:tcPr>
          <w:p>
            <w:pPr>
              <w:jc w:val="right"/>
            </w:pPr>
            <w:r>
              <w:rPr>
                <w:rFonts w:ascii="Calibri" w:hAnsi="Calibri"/>
                <w:b/>
                <w:i w:val="0"/>
                <w:color w:val="FFFFFF"/>
                <w:sz w:val="17"/>
              </w:rPr>
              <w:t>€34,458,823</w:t>
            </w:r>
          </w:p>
        </w:tc>
      </w:tr>
    </w:tbl>
    <w:p>
      <w:pPr>
        <w:spacing w:after="80"/>
        <w:jc w:val="both"/>
      </w:pPr>
      <w:r>
        <w:rPr>
          <w:rFonts w:ascii="Calibri" w:hAnsi="Calibri"/>
          <w:b w:val="0"/>
          <w:i w:val="0"/>
          <w:color w:val="404040"/>
          <w:sz w:val="18"/>
        </w:rPr>
        <w:t>* Indicative Prices marked * use the nearest Linyang configuration (LY202601271) where MW/MWh is not an exact quoted line: Tseri, Tseri 2-A, Tseri 3, Famagusta, Tseri 2-B, Tseri 2-C, Famagusta 2. Limassol and Frenaros are exact LY lines.</w:t>
      </w:r>
    </w:p>
    <w:p>
      <w:pPr>
        <w:spacing w:before="320" w:after="80"/>
      </w:pPr>
      <w:r>
        <w:rPr>
          <w:rFonts w:ascii="Calibri" w:hAnsi="Calibri"/>
          <w:b/>
          <w:i w:val="0"/>
          <w:color w:val="C9A432"/>
          <w:sz w:val="24"/>
        </w:rPr>
        <w:t>3.   INDICATIVE PROGRAMME</w:t>
      </w:r>
    </w:p>
    <w:tbl>
      <w:tblPr>
        <w:tblLook w:firstColumn="1" w:firstRow="1" w:lastColumn="0" w:lastRow="0" w:noHBand="0" w:noVBand="1" w:val="04A0"/>
        <w:tblW w:w="7370" w:type="dxa"/>
        <w:tblLayout w:type="fixed"/>
      </w:tblPr>
      <w:tblGrid>
        <w:gridCol w:w="3118"/>
        <w:gridCol w:w="567"/>
        <w:gridCol w:w="680"/>
        <w:gridCol w:w="1134"/>
        <w:gridCol w:w="1871"/>
      </w:tblGrid>
      <w:tr>
        <w:tc>
          <w:tcPr>
            <w:shd w:val="clear" w:color="auto" w:fill="1A365D"/>
            <w:vAlign w:val="center"/>
            <w:tcW w:w="3118" w:type="dxa"/>
          </w:tcPr>
          <w:p>
            <w:pPr>
              <w:jc w:val="center"/>
            </w:pPr>
            <w:r>
              <w:rPr>
                <w:rFonts w:ascii="Calibri" w:hAnsi="Calibri"/>
                <w:b/>
                <w:i w:val="0"/>
                <w:color w:val="FFFFFF"/>
                <w:sz w:val="16"/>
              </w:rPr>
              <w:t>Batch / Phase</w:t>
            </w:r>
          </w:p>
        </w:tc>
        <w:tc>
          <w:tcPr>
            <w:shd w:val="clear" w:color="auto" w:fill="1A365D"/>
            <w:vAlign w:val="center"/>
            <w:tcW w:w="567" w:type="dxa"/>
          </w:tcPr>
          <w:p>
            <w:pPr>
              <w:jc w:val="center"/>
            </w:pPr>
            <w:r>
              <w:rPr>
                <w:rFonts w:ascii="Calibri" w:hAnsi="Calibri"/>
                <w:b/>
                <w:i w:val="0"/>
                <w:color w:val="FFFFFF"/>
                <w:sz w:val="16"/>
              </w:rPr>
              <w:t>Parks</w:t>
            </w:r>
          </w:p>
        </w:tc>
        <w:tc>
          <w:tcPr>
            <w:shd w:val="clear" w:color="auto" w:fill="1A365D"/>
            <w:vAlign w:val="center"/>
            <w:tcW w:w="680" w:type="dxa"/>
          </w:tcPr>
          <w:p>
            <w:pPr>
              <w:jc w:val="center"/>
            </w:pPr>
            <w:r>
              <w:rPr>
                <w:rFonts w:ascii="Calibri" w:hAnsi="Calibri"/>
                <w:b/>
                <w:i w:val="0"/>
                <w:color w:val="FFFFFF"/>
                <w:sz w:val="16"/>
              </w:rPr>
              <w:t>MWh</w:t>
            </w:r>
          </w:p>
        </w:tc>
        <w:tc>
          <w:tcPr>
            <w:shd w:val="clear" w:color="auto" w:fill="1A365D"/>
            <w:vAlign w:val="center"/>
            <w:tcW w:w="1134" w:type="dxa"/>
          </w:tcPr>
          <w:p>
            <w:pPr>
              <w:jc w:val="center"/>
            </w:pPr>
            <w:r>
              <w:rPr>
                <w:rFonts w:ascii="Calibri" w:hAnsi="Calibri"/>
                <w:b/>
                <w:i w:val="0"/>
                <w:color w:val="FFFFFF"/>
                <w:sz w:val="16"/>
              </w:rPr>
              <w:t>EPC target</w:t>
            </w:r>
          </w:p>
        </w:tc>
        <w:tc>
          <w:tcPr>
            <w:shd w:val="clear" w:color="auto" w:fill="1A365D"/>
            <w:vAlign w:val="center"/>
            <w:tcW w:w="1871" w:type="dxa"/>
          </w:tcPr>
          <w:p>
            <w:pPr>
              <w:jc w:val="center"/>
            </w:pPr>
            <w:r>
              <w:rPr>
                <w:rFonts w:ascii="Calibri" w:hAnsi="Calibri"/>
                <w:b/>
                <w:i w:val="0"/>
                <w:color w:val="FFFFFF"/>
                <w:sz w:val="16"/>
              </w:rPr>
              <w:t>Indicative value (ex VAT)</w:t>
            </w:r>
          </w:p>
        </w:tc>
      </w:tr>
      <w:tr>
        <w:tc>
          <w:tcPr>
            <w:tcW w:w="3118" w:type="dxa"/>
          </w:tcPr>
          <w:p>
            <w:pPr>
              <w:jc w:val="left"/>
            </w:pPr>
            <w:r>
              <w:rPr>
                <w:rFonts w:ascii="Calibri" w:hAnsi="Calibri"/>
                <w:b w:val="0"/>
                <w:i w:val="0"/>
                <w:color w:val="000000"/>
                <w:sz w:val="17"/>
              </w:rPr>
              <w:t>Batch 1 — 2026</w:t>
            </w:r>
          </w:p>
        </w:tc>
        <w:tc>
          <w:tcPr>
            <w:tcW w:w="567" w:type="dxa"/>
          </w:tcPr>
          <w:p>
            <w:pPr>
              <w:jc w:val="center"/>
            </w:pPr>
            <w:r>
              <w:rPr>
                <w:rFonts w:ascii="Calibri" w:hAnsi="Calibri"/>
                <w:b w:val="0"/>
                <w:i w:val="0"/>
                <w:color w:val="000000"/>
                <w:sz w:val="17"/>
              </w:rPr>
              <w:t>4</w:t>
            </w:r>
          </w:p>
        </w:tc>
        <w:tc>
          <w:tcPr>
            <w:tcW w:w="680" w:type="dxa"/>
          </w:tcPr>
          <w:p>
            <w:pPr>
              <w:jc w:val="right"/>
            </w:pPr>
            <w:r>
              <w:rPr>
                <w:rFonts w:ascii="Calibri" w:hAnsi="Calibri"/>
                <w:b w:val="0"/>
                <w:i w:val="0"/>
                <w:color w:val="000000"/>
                <w:sz w:val="17"/>
              </w:rPr>
              <w:t>75.0</w:t>
            </w:r>
          </w:p>
        </w:tc>
        <w:tc>
          <w:tcPr>
            <w:tcW w:w="1134" w:type="dxa"/>
          </w:tcPr>
          <w:p>
            <w:pPr>
              <w:jc w:val="right"/>
            </w:pPr>
            <w:r>
              <w:rPr>
                <w:rFonts w:ascii="Calibri" w:hAnsi="Calibri"/>
                <w:b w:val="0"/>
                <w:i w:val="0"/>
                <w:color w:val="000000"/>
                <w:sz w:val="17"/>
              </w:rPr>
              <w:t>2026 (per park)</w:t>
            </w:r>
          </w:p>
        </w:tc>
        <w:tc>
          <w:tcPr>
            <w:tcW w:w="1871" w:type="dxa"/>
          </w:tcPr>
          <w:p>
            <w:pPr>
              <w:jc w:val="right"/>
            </w:pPr>
            <w:r>
              <w:rPr>
                <w:rFonts w:ascii="Calibri" w:hAnsi="Calibri"/>
                <w:b w:val="0"/>
                <w:i w:val="0"/>
                <w:color w:val="000000"/>
                <w:sz w:val="17"/>
              </w:rPr>
              <w:t>€8,892,445</w:t>
            </w:r>
          </w:p>
        </w:tc>
      </w:tr>
      <w:tr>
        <w:tc>
          <w:tcPr>
            <w:tcW w:w="3118" w:type="dxa"/>
          </w:tcPr>
          <w:p>
            <w:pPr>
              <w:jc w:val="left"/>
            </w:pPr>
            <w:r>
              <w:rPr>
                <w:rFonts w:ascii="Calibri" w:hAnsi="Calibri"/>
                <w:b w:val="0"/>
                <w:i w:val="0"/>
                <w:color w:val="000000"/>
                <w:sz w:val="17"/>
              </w:rPr>
              <w:t>Batch 2 — 2027</w:t>
            </w:r>
          </w:p>
        </w:tc>
        <w:tc>
          <w:tcPr>
            <w:tcW w:w="567" w:type="dxa"/>
          </w:tcPr>
          <w:p>
            <w:pPr>
              <w:jc w:val="center"/>
            </w:pPr>
            <w:r>
              <w:rPr>
                <w:rFonts w:ascii="Calibri" w:hAnsi="Calibri"/>
                <w:b w:val="0"/>
                <w:i w:val="0"/>
                <w:color w:val="000000"/>
                <w:sz w:val="17"/>
              </w:rPr>
              <w:t>3</w:t>
            </w:r>
          </w:p>
        </w:tc>
        <w:tc>
          <w:tcPr>
            <w:tcW w:w="680" w:type="dxa"/>
          </w:tcPr>
          <w:p>
            <w:pPr>
              <w:jc w:val="right"/>
            </w:pPr>
            <w:r>
              <w:rPr>
                <w:rFonts w:ascii="Calibri" w:hAnsi="Calibri"/>
                <w:b w:val="0"/>
                <w:i w:val="0"/>
                <w:color w:val="000000"/>
                <w:sz w:val="17"/>
              </w:rPr>
              <w:t>115.0</w:t>
            </w:r>
          </w:p>
        </w:tc>
        <w:tc>
          <w:tcPr>
            <w:tcW w:w="1134" w:type="dxa"/>
          </w:tcPr>
          <w:p>
            <w:pPr>
              <w:jc w:val="right"/>
            </w:pPr>
            <w:r>
              <w:rPr>
                <w:rFonts w:ascii="Calibri" w:hAnsi="Calibri"/>
                <w:b w:val="0"/>
                <w:i w:val="0"/>
                <w:color w:val="000000"/>
                <w:sz w:val="17"/>
              </w:rPr>
              <w:t>2027 (per park)</w:t>
            </w:r>
          </w:p>
        </w:tc>
        <w:tc>
          <w:tcPr>
            <w:tcW w:w="1871" w:type="dxa"/>
          </w:tcPr>
          <w:p>
            <w:pPr>
              <w:jc w:val="right"/>
            </w:pPr>
            <w:r>
              <w:rPr>
                <w:rFonts w:ascii="Calibri" w:hAnsi="Calibri"/>
                <w:b w:val="0"/>
                <w:i w:val="0"/>
                <w:color w:val="000000"/>
                <w:sz w:val="17"/>
              </w:rPr>
              <w:t>€12,405,139</w:t>
            </w:r>
          </w:p>
        </w:tc>
      </w:tr>
      <w:tr>
        <w:tc>
          <w:tcPr>
            <w:tcW w:w="3118" w:type="dxa"/>
          </w:tcPr>
          <w:p>
            <w:pPr>
              <w:jc w:val="left"/>
            </w:pPr>
            <w:r>
              <w:rPr>
                <w:rFonts w:ascii="Calibri" w:hAnsi="Calibri"/>
                <w:b w:val="0"/>
                <w:i w:val="0"/>
                <w:color w:val="000000"/>
                <w:sz w:val="17"/>
              </w:rPr>
              <w:t>Batch 3 — 2028</w:t>
            </w:r>
          </w:p>
        </w:tc>
        <w:tc>
          <w:tcPr>
            <w:tcW w:w="567" w:type="dxa"/>
          </w:tcPr>
          <w:p>
            <w:pPr>
              <w:jc w:val="center"/>
            </w:pPr>
            <w:r>
              <w:rPr>
                <w:rFonts w:ascii="Calibri" w:hAnsi="Calibri"/>
                <w:b w:val="0"/>
                <w:i w:val="0"/>
                <w:color w:val="000000"/>
                <w:sz w:val="17"/>
              </w:rPr>
              <w:t>2</w:t>
            </w:r>
          </w:p>
        </w:tc>
        <w:tc>
          <w:tcPr>
            <w:tcW w:w="680" w:type="dxa"/>
          </w:tcPr>
          <w:p>
            <w:pPr>
              <w:jc w:val="right"/>
            </w:pPr>
            <w:r>
              <w:rPr>
                <w:rFonts w:ascii="Calibri" w:hAnsi="Calibri"/>
                <w:b w:val="0"/>
                <w:i w:val="0"/>
                <w:color w:val="000000"/>
                <w:sz w:val="17"/>
              </w:rPr>
              <w:t>125.0</w:t>
            </w:r>
          </w:p>
        </w:tc>
        <w:tc>
          <w:tcPr>
            <w:tcW w:w="1134" w:type="dxa"/>
          </w:tcPr>
          <w:p>
            <w:pPr>
              <w:jc w:val="right"/>
            </w:pPr>
            <w:r>
              <w:rPr>
                <w:rFonts w:ascii="Calibri" w:hAnsi="Calibri"/>
                <w:b w:val="0"/>
                <w:i w:val="0"/>
                <w:color w:val="000000"/>
                <w:sz w:val="17"/>
              </w:rPr>
              <w:t>Q2 2028</w:t>
            </w:r>
          </w:p>
        </w:tc>
        <w:tc>
          <w:tcPr>
            <w:tcW w:w="1871" w:type="dxa"/>
          </w:tcPr>
          <w:p>
            <w:pPr>
              <w:jc w:val="right"/>
            </w:pPr>
            <w:r>
              <w:rPr>
                <w:rFonts w:ascii="Calibri" w:hAnsi="Calibri"/>
                <w:b w:val="0"/>
                <w:i w:val="0"/>
                <w:color w:val="000000"/>
                <w:sz w:val="17"/>
              </w:rPr>
              <w:t>€13,161,239</w:t>
            </w:r>
          </w:p>
        </w:tc>
      </w:tr>
    </w:tbl>
    <w:p>
      <w:pPr>
        <w:spacing w:before="320" w:after="80"/>
      </w:pPr>
      <w:r>
        <w:rPr>
          <w:rFonts w:ascii="Calibri" w:hAnsi="Calibri"/>
          <w:b/>
          <w:i w:val="0"/>
          <w:color w:val="C9A432"/>
          <w:sz w:val="24"/>
        </w:rPr>
        <w:t>4.   COMMERCIAL SUMMARY</w:t>
      </w:r>
    </w:p>
    <w:p>
      <w:pPr>
        <w:spacing w:after="100"/>
        <w:jc w:val="both"/>
      </w:pPr>
      <w:r>
        <w:rPr>
          <w:rFonts w:ascii="Calibri" w:hAnsi="Calibri"/>
          <w:b w:val="0"/>
          <w:i w:val="0"/>
          <w:color w:val="000000"/>
          <w:sz w:val="20"/>
        </w:rPr>
        <w:t>4.1  Schedule 1 shows Indicative Prices (excl. VAT) from Linyang quotation LY202601271. Payment terms, civil works scope, and the binding Contract Price are fixed in each executed EPC using the Indicative and Confirmed Price mechanism (EPC §6.1).</w:t>
      </w:r>
    </w:p>
    <w:p>
      <w:pPr>
        <w:spacing w:after="100"/>
        <w:jc w:val="both"/>
      </w:pPr>
      <w:r>
        <w:rPr>
          <w:rFonts w:ascii="Calibri" w:hAnsi="Calibri"/>
          <w:b w:val="0"/>
          <w:i w:val="0"/>
          <w:color w:val="000000"/>
          <w:sz w:val="20"/>
        </w:rPr>
        <w:t>Effective MWh for each pipeline park will be stated in that park's phase EPC Schedule A.</w:t>
      </w:r>
    </w:p>
    <w:p>
      <w:pPr>
        <w:spacing w:after="100"/>
        <w:jc w:val="both"/>
      </w:pPr>
      <w:r>
        <w:rPr>
          <w:rFonts w:ascii="Calibri" w:hAnsi="Calibri"/>
          <w:b w:val="0"/>
          <w:i w:val="0"/>
          <w:color w:val="000000"/>
          <w:sz w:val="20"/>
        </w:rPr>
        <w:t>4.2  Schedule 1 indicatives are valid for ninety (90) days from this LOI for planning. The Confirmed Contract Price for each park or batch is set when Lighthief issues the Confirmed Price Certificate under Clause 4.3.</w:t>
      </w:r>
    </w:p>
    <w:p>
      <w:pPr>
        <w:spacing w:after="100"/>
        <w:jc w:val="both"/>
      </w:pPr>
      <w:r>
        <w:rPr>
          <w:rFonts w:ascii="Calibri" w:hAnsi="Calibri"/>
          <w:b w:val="0"/>
          <w:i w:val="0"/>
          <w:color w:val="000000"/>
          <w:sz w:val="20"/>
        </w:rPr>
        <w:t>4.3  (Two-way price commitment) Each EPC will state an Indicative Price (as in Schedule 1 or updated in writing before signing). Within fourteen (14) days after the Client receives grid Connection Terms for that park or batch, Lighthief will issue a Confirmed Price Certificate fixing the Contract Price. The Confirmed Price equals the Indicative Price unless the battery raw-material index (Mysteel lithium carbonate) or EUR/CNY moves beyond the thresholds in EPC §6.1 from the January 2026 reference values (155,000 CNY/tonne (Mysteel China battery-grade spot, January 2026 monthly average); 8.18 CNY per EUR (January 2026 average)). Where a threshold is exceeded, the Confirmed Price adjusts to reflect verified movement on the equipment cost base: downward adjustments are passed through to the Client on milestones not yet invoiced; upward adjustments are capped at five percent (5%) of the Indicative Price. If the calculated upward adjustment would exceed five percent (5%), either Party may decline to proceed with that EPC without penalty. Lighthief will provide a Price Basis Certificate at EPC signing (and at equipment delivery where applicable) showing the reference indices and calculation so the Client can verify how the price follows the market.</w:t>
      </w:r>
    </w:p>
    <w:p>
      <w:pPr>
        <w:spacing w:after="100"/>
        <w:jc w:val="both"/>
      </w:pPr>
      <w:r>
        <w:rPr>
          <w:rFonts w:ascii="Calibri" w:hAnsi="Calibri"/>
          <w:b w:val="0"/>
          <w:i w:val="0"/>
          <w:color w:val="000000"/>
          <w:sz w:val="20"/>
        </w:rPr>
        <w:t>4.4  (Price lock — signature by 29 May 2026) The Parties acknowledge that, as of the date of this LOI, the Mysteel lithium carbonate index has moved materially above the January 2026 reference in Clause 4.3, while EUR/CNY remains within the EPC FX threshold. Schedule 1 therefore reflects pricing locked with Linyang on the January 2026 quotation basis, not today's spot index. Linyang has confirmed that where this LOI and the relevant park or batch EPC are executed on or before 29 May 2026, the Indicative Price (as in Schedule 1 or updated in writing before signing) shall be the Confirmed Price for equipment cost purposes, without upward raw-material or FX adjustment for index movement occurring before that EPC Effective Date. Clause 4.3 two-way adjustments apply after signing only to verified movement from the indices stated in the Price Basis Certificate at EPC signing.</w:t>
      </w:r>
    </w:p>
    <w:p>
      <w:pPr>
        <w:spacing w:before="320" w:after="80"/>
      </w:pPr>
      <w:r>
        <w:rPr>
          <w:rFonts w:ascii="Calibri" w:hAnsi="Calibri"/>
          <w:b/>
          <w:i w:val="0"/>
          <w:color w:val="C9A432"/>
          <w:sz w:val="24"/>
        </w:rPr>
        <w:t>5.   NEXT STEPS</w:t>
      </w:r>
    </w:p>
    <w:p>
      <w:pPr>
        <w:spacing w:after="100"/>
        <w:jc w:val="both"/>
      </w:pPr>
      <w:r>
        <w:rPr>
          <w:rFonts w:ascii="Calibri" w:hAnsi="Calibri"/>
          <w:b w:val="0"/>
          <w:i w:val="0"/>
          <w:color w:val="000000"/>
          <w:sz w:val="20"/>
        </w:rPr>
        <w:t>5.1  The Parties will negotiate EPCs per batch in Section 3. LTSA, EMS, and warranty terms are agreed in each EPC — not in this LOI.</w:t>
      </w:r>
    </w:p>
    <w:p>
      <w:pPr>
        <w:spacing w:before="320" w:after="80"/>
      </w:pPr>
      <w:r>
        <w:rPr>
          <w:rFonts w:ascii="Calibri" w:hAnsi="Calibri"/>
          <w:b/>
          <w:i w:val="0"/>
          <w:color w:val="C9A432"/>
          <w:sz w:val="24"/>
        </w:rPr>
        <w:t>6.   GOOD FAITH</w:t>
      </w:r>
    </w:p>
    <w:p>
      <w:pPr>
        <w:spacing w:after="100"/>
        <w:jc w:val="both"/>
      </w:pPr>
      <w:r>
        <w:rPr>
          <w:rFonts w:ascii="Calibri" w:hAnsi="Calibri"/>
          <w:b w:val="0"/>
          <w:i w:val="0"/>
          <w:color w:val="000000"/>
          <w:sz w:val="20"/>
        </w:rPr>
        <w:t>6.1  The Parties will negotiate each batch EPC in good faith. If terms for a batch are not agreed within ninety (90) days of that batch's EPC target in Section 3, either Party may end this LOI for that batch only, without liability except Clause 1.3.</w:t>
      </w:r>
    </w:p>
    <w:p>
      <w:pPr>
        <w:spacing w:before="320" w:after="80"/>
      </w:pPr>
      <w:r>
        <w:rPr>
          <w:rFonts w:ascii="Calibri" w:hAnsi="Calibri"/>
          <w:b/>
          <w:i w:val="0"/>
          <w:color w:val="C9A432"/>
          <w:sz w:val="24"/>
        </w:rPr>
        <w:t>7.   EXCLUSIVITY</w:t>
      </w:r>
    </w:p>
    <w:p>
      <w:pPr>
        <w:spacing w:after="100"/>
        <w:jc w:val="both"/>
      </w:pPr>
      <w:r>
        <w:rPr>
          <w:rFonts w:ascii="Calibri" w:hAnsi="Calibri"/>
          <w:b w:val="0"/>
          <w:i w:val="0"/>
          <w:color w:val="000000"/>
          <w:sz w:val="20"/>
        </w:rPr>
        <w:t>7.1  (Binding) Until this LOI expires or the relevant Schedule 1 EPC is signed, the Client will not appoint another EPC contractor for those parks or procure parallel BESS equipment for them from an OEM other than Linyang (Cyprus portfolio).</w:t>
      </w:r>
    </w:p>
    <w:p>
      <w:pPr>
        <w:spacing w:after="100"/>
        <w:jc w:val="both"/>
      </w:pPr>
      <w:r>
        <w:rPr>
          <w:rFonts w:ascii="Calibri" w:hAnsi="Calibri"/>
          <w:b w:val="0"/>
          <w:i w:val="0"/>
          <w:color w:val="000000"/>
          <w:sz w:val="20"/>
        </w:rPr>
        <w:t>7.2  Exclusivity does not apply on Valid Reason (Clause 1.3) or if Lighthief has not proposed an EPC for signature within ninety (90) days of this LOI (unless extended in writing).</w:t>
      </w:r>
    </w:p>
    <w:p>
      <w:pPr>
        <w:spacing w:after="100"/>
        <w:jc w:val="both"/>
      </w:pPr>
      <w:r>
        <w:rPr>
          <w:rFonts w:ascii="Calibri" w:hAnsi="Calibri"/>
          <w:b w:val="0"/>
          <w:i w:val="0"/>
          <w:color w:val="000000"/>
          <w:sz w:val="20"/>
        </w:rPr>
        <w:t>7.3  Exclusivity ends when the Schedule 1 EPC is signed, on Valid Reason, or if either Party materially breaches this LOI and does not remedy within thirty (30) days of notice.</w:t>
      </w:r>
    </w:p>
    <w:p>
      <w:pPr>
        <w:spacing w:after="100"/>
        <w:jc w:val="both"/>
      </w:pPr>
      <w:r>
        <w:rPr>
          <w:rFonts w:ascii="Calibri" w:hAnsi="Calibri"/>
          <w:b w:val="0"/>
          <w:i w:val="0"/>
          <w:color w:val="000000"/>
          <w:sz w:val="20"/>
        </w:rPr>
        <w:t>7.4  Applies to the nine (9) pipeline parks only — not Galascope Ltd (LCY-LOI-GAL-B1-2026-R15).</w:t>
      </w:r>
    </w:p>
    <w:p>
      <w:pPr>
        <w:spacing w:before="320" w:after="80"/>
      </w:pPr>
      <w:r>
        <w:rPr>
          <w:rFonts w:ascii="Calibri" w:hAnsi="Calibri"/>
          <w:b/>
          <w:i w:val="0"/>
          <w:color w:val="C9A432"/>
          <w:sz w:val="24"/>
        </w:rPr>
        <w:t>8.   CONFIDENTIALITY</w:t>
      </w:r>
    </w:p>
    <w:p>
      <w:pPr>
        <w:spacing w:after="100"/>
        <w:jc w:val="both"/>
      </w:pPr>
      <w:r>
        <w:rPr>
          <w:rFonts w:ascii="Calibri" w:hAnsi="Calibri"/>
          <w:b w:val="0"/>
          <w:i w:val="0"/>
          <w:color w:val="000000"/>
          <w:sz w:val="20"/>
        </w:rPr>
        <w:t>8.1  (Binding) Each Party shall keep confidential this LOI and related information, except to advisers, lenders, or as required by law. Survives five (5) years.</w:t>
      </w:r>
    </w:p>
    <w:p>
      <w:pPr>
        <w:spacing w:before="320" w:after="80"/>
      </w:pPr>
      <w:r>
        <w:rPr>
          <w:rFonts w:ascii="Calibri" w:hAnsi="Calibri"/>
          <w:b/>
          <w:i w:val="0"/>
          <w:color w:val="C9A432"/>
          <w:sz w:val="24"/>
        </w:rPr>
        <w:t>9.   TERM AND GOVERNING LAW</w:t>
      </w:r>
    </w:p>
    <w:p>
      <w:pPr>
        <w:spacing w:after="100"/>
        <w:jc w:val="both"/>
      </w:pPr>
      <w:r>
        <w:rPr>
          <w:rFonts w:ascii="Calibri" w:hAnsi="Calibri"/>
          <w:b w:val="0"/>
          <w:i w:val="0"/>
          <w:color w:val="000000"/>
          <w:sz w:val="20"/>
        </w:rPr>
        <w:t>9.1  This LOI runs until the earlier of: all Schedule 1 EPCs signed, thirty-six (36) months from signing, or termination of a phase under Section 6.</w:t>
      </w:r>
    </w:p>
    <w:p>
      <w:pPr>
        <w:spacing w:after="100"/>
        <w:jc w:val="both"/>
      </w:pPr>
      <w:r>
        <w:rPr>
          <w:rFonts w:ascii="Calibri" w:hAnsi="Calibri"/>
          <w:b w:val="0"/>
          <w:i w:val="0"/>
          <w:color w:val="000000"/>
          <w:sz w:val="20"/>
        </w:rPr>
        <w:t>9.2  Governed by Cyprus law. Cyprus courts have exclusive jurisdiction.</w:t>
      </w:r>
    </w:p>
    <w:tbl>
      <w:tblPr>
        <w:tblLook w:firstColumn="1" w:firstRow="1" w:lastColumn="0" w:lastRow="0" w:noHBand="0" w:noVBand="1" w:val="04A0"/>
        <w:tblW w:w="7938" w:type="dxa"/>
        <w:tblLayout w:type="fixed"/>
      </w:tblPr>
      <w:tblGrid>
        <w:gridCol w:w="7938"/>
      </w:tblGrid>
      <w:tr>
        <w:tc>
          <w:tcPr>
            <w:shd w:val="clear" w:color="auto" w:fill="FEF3C7"/>
            <w:tcW w:w="7938" w:type="dxa"/>
          </w:tcPr>
          <w:p>
            <w:pPr>
              <w:jc w:val="both"/>
            </w:pPr>
            <w:r>
              <w:rPr>
                <w:rFonts w:ascii="Calibri" w:hAnsi="Calibri"/>
                <w:b/>
                <w:i w:val="0"/>
                <w:color w:val="92400E"/>
                <w:sz w:val="18"/>
              </w:rPr>
              <w:t xml:space="preserve">NATURE OF THIS DOCUMENT:  </w:t>
            </w:r>
            <w:r>
              <w:rPr>
                <w:rFonts w:ascii="Calibri" w:hAnsi="Calibri"/>
                <w:b w:val="0"/>
                <w:i w:val="0"/>
                <w:color w:val="78350F"/>
                <w:sz w:val="18"/>
              </w:rPr>
              <w:t>Non-binding except Clauses 1.3, 7, and 8. Nine (9) pipeline parks only. Galascope Ltd: LCY-LOI-GAL-B1-2026-R15. Binding price and payment terms are in each EPC.</w:t>
            </w:r>
          </w:p>
        </w:tc>
      </w:tr>
    </w:tbl>
    <w:p>
      <w:pPr>
        <w:spacing w:before="320" w:after="80"/>
      </w:pPr>
      <w:r>
        <w:rPr>
          <w:rFonts w:ascii="Calibri" w:hAnsi="Calibri"/>
          <w:b/>
          <w:i w:val="0"/>
          <w:color w:val="C9A432"/>
          <w:sz w:val="24"/>
        </w:rPr>
        <w:t>SIGNATURES</w:t>
      </w:r>
    </w:p>
    <w:p>
      <w:pPr>
        <w:spacing w:after="200"/>
        <w:jc w:val="both"/>
      </w:pPr>
      <w:r>
        <w:rPr>
          <w:rFonts w:ascii="Calibri" w:hAnsi="Calibri"/>
          <w:b w:val="0"/>
          <w:i w:val="0"/>
          <w:color w:val="000000"/>
          <w:sz w:val="20"/>
        </w:rPr>
        <w:t>IN WITNESS WHEREOF, the authorised representatives of the Parties have executed this Letter of Intent as of the date first written above.</w:t>
      </w:r>
    </w:p>
    <w:tbl>
      <w:tblPr>
        <w:jc w:val="left"/>
        <w:tblLook w:firstColumn="1" w:firstRow="1" w:lastColumn="0" w:lastRow="0" w:noHBand="0" w:noVBand="1" w:val="04A0"/>
        <w:tblW w:w="7938" w:type="dxa"/>
        <w:tblLayout w:type="fixed"/>
      </w:tblPr>
      <w:tblGrid>
        <w:gridCol w:w="3969"/>
        <w:gridCol w:w="3969"/>
      </w:tblGrid>
      <w:tr>
        <w:tc>
          <w:tcPr>
            <w:shd w:val="clear" w:color="auto" w:fill="1A365D"/>
            <w:tcW w:w="3969" w:type="dxa"/>
          </w:tcPr>
          <w:p>
            <w:r>
              <w:rPr>
                <w:rFonts w:ascii="Calibri" w:hAnsi="Calibri"/>
                <w:b/>
                <w:i w:val="0"/>
                <w:color w:val="FFFFFF"/>
                <w:sz w:val="18"/>
              </w:rPr>
              <w:t>For and on behalf of</w:t>
              <w:br/>
              <w:t>Lighthief Cyprus Ltd</w:t>
            </w:r>
          </w:p>
        </w:tc>
        <w:tc>
          <w:tcPr>
            <w:shd w:val="clear" w:color="auto" w:fill="1A365D"/>
            <w:tcW w:w="3969" w:type="dxa"/>
          </w:tcPr>
          <w:p>
            <w:r>
              <w:rPr>
                <w:rFonts w:ascii="Calibri" w:hAnsi="Calibri"/>
                <w:b/>
                <w:i w:val="0"/>
                <w:color w:val="FFFFFF"/>
                <w:sz w:val="18"/>
              </w:rPr>
              <w:t>For and on behalf of</w:t>
              <w:br/>
              <w:t>Esperia Energy Group</w:t>
            </w:r>
          </w:p>
        </w:tc>
      </w:tr>
      <w:tr>
        <w:tc>
          <w:tcPr>
            <w:tcW w:w="3969" w:type="dxa"/>
          </w:tcPr>
          <w:p>
            <w:r>
              <w:rPr>
                <w:rFonts w:ascii="Calibri" w:hAnsi="Calibri"/>
                <w:b w:val="0"/>
                <w:i w:val="0"/>
                <w:color w:val="000000"/>
                <w:sz w:val="20"/>
              </w:rPr>
              <w:t>Name:   Alexander Papacosta</w:t>
            </w:r>
          </w:p>
        </w:tc>
        <w:tc>
          <w:tcPr>
            <w:tcW w:w="3969" w:type="dxa"/>
          </w:tcPr>
          <w:p>
            <w:r>
              <w:rPr>
                <w:rFonts w:ascii="Calibri" w:hAnsi="Calibri"/>
                <w:b w:val="0"/>
                <w:i w:val="0"/>
                <w:color w:val="000000"/>
                <w:sz w:val="20"/>
              </w:rPr>
              <w:t>Name:   ___________________________</w:t>
            </w:r>
          </w:p>
        </w:tc>
      </w:tr>
      <w:tr>
        <w:tc>
          <w:tcPr>
            <w:tcW w:w="3969" w:type="dxa"/>
          </w:tcPr>
          <w:p>
            <w:r>
              <w:rPr>
                <w:rFonts w:ascii="Calibri" w:hAnsi="Calibri"/>
                <w:b w:val="0"/>
                <w:i w:val="0"/>
                <w:color w:val="000000"/>
                <w:sz w:val="20"/>
              </w:rPr>
              <w:t>Title:    Managing Director</w:t>
            </w:r>
          </w:p>
        </w:tc>
        <w:tc>
          <w:tcPr>
            <w:tcW w:w="3969" w:type="dxa"/>
          </w:tcPr>
          <w:p>
            <w:r>
              <w:rPr>
                <w:rFonts w:ascii="Calibri" w:hAnsi="Calibri"/>
                <w:b w:val="0"/>
                <w:i w:val="0"/>
                <w:color w:val="000000"/>
                <w:sz w:val="20"/>
              </w:rPr>
              <w:t>Title:    ___________________________</w:t>
            </w:r>
          </w:p>
        </w:tc>
      </w:tr>
      <w:tr>
        <w:tc>
          <w:tcPr>
            <w:tcW w:w="3969" w:type="dxa"/>
          </w:tcPr>
          <w:p>
            <w:r>
              <w:rPr>
                <w:rFonts w:ascii="Calibri" w:hAnsi="Calibri"/>
                <w:b w:val="0"/>
                <w:i w:val="0"/>
                <w:color w:val="000000"/>
                <w:sz w:val="20"/>
              </w:rPr>
              <w:t>Signature:   ___________________________</w:t>
            </w:r>
          </w:p>
        </w:tc>
        <w:tc>
          <w:tcPr>
            <w:tcW w:w="3969" w:type="dxa"/>
          </w:tcPr>
          <w:p>
            <w:r>
              <w:rPr>
                <w:rFonts w:ascii="Calibri" w:hAnsi="Calibri"/>
                <w:b w:val="0"/>
                <w:i w:val="0"/>
                <w:color w:val="000000"/>
                <w:sz w:val="20"/>
              </w:rPr>
              <w:t>Signature:   ___________________________</w:t>
            </w:r>
          </w:p>
        </w:tc>
      </w:tr>
      <w:tr>
        <w:tc>
          <w:tcPr>
            <w:tcW w:w="3969" w:type="dxa"/>
          </w:tcPr>
          <w:p>
            <w:r>
              <w:rPr>
                <w:rFonts w:ascii="Calibri" w:hAnsi="Calibri"/>
                <w:b w:val="0"/>
                <w:i w:val="0"/>
                <w:color w:val="000000"/>
                <w:sz w:val="20"/>
              </w:rPr>
              <w:t>Date:   ___________________________</w:t>
            </w:r>
          </w:p>
        </w:tc>
        <w:tc>
          <w:tcPr>
            <w:tcW w:w="3969" w:type="dxa"/>
          </w:tcPr>
          <w:p>
            <w:r>
              <w:rPr>
                <w:rFonts w:ascii="Calibri" w:hAnsi="Calibri"/>
                <w:b w:val="0"/>
                <w:i w:val="0"/>
                <w:color w:val="000000"/>
                <w:sz w:val="20"/>
              </w:rPr>
              <w:t>Date:   ___________________________</w:t>
            </w:r>
          </w:p>
        </w:tc>
      </w:tr>
    </w:tbl>
    <w:p>
      <w:pPr>
        <w:spacing w:after="160"/>
      </w:pPr>
    </w:p>
    <w:p>
      <w:pPr>
        <w:jc w:val="center"/>
      </w:pPr>
      <w:r>
        <w:rPr>
          <w:rFonts w:ascii="Calibri" w:hAnsi="Calibri"/>
          <w:b w:val="0"/>
          <w:i w:val="0"/>
          <w:color w:val="404040"/>
          <w:sz w:val="15"/>
        </w:rPr>
        <w:t>Lighthief Cyprus Ltd  |  HE 477423  |  28 October Ave 249, Lophitis Business Center 1, Office 201, 3035 Limassol, Cyprus</w:t>
        <w:br/>
        <w:t>office@lighthief.com  |  +357 77 77 00 50  |  solarfarms.cy  |  Ref: LCY-LOI-ESP-PIPELINE-2026-R15</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