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6"/>
        </w:rPr>
        <w:t>SPECIMEN — ADVANCE PAYMENT GUARANTEE</w:t>
      </w:r>
    </w:p>
    <w:p>
      <w:pPr>
        <w:jc w:val="center"/>
      </w:pPr>
      <w:r>
        <w:rPr>
          <w:color w:val="C9A432"/>
          <w:sz w:val="21"/>
        </w:rPr>
        <w:t>Bank of Communications form · Beneficiary: Galascope Ltd · for bank pre-confirmation</w:t>
      </w:r>
    </w:p>
    <w:p/>
    <w:p>
      <w:r>
        <w:rPr>
          <w:rFonts w:ascii="Calibri" w:hAnsi="Calibri"/>
          <w:b/>
          <w:i w:val="0"/>
          <w:sz w:val="21"/>
        </w:rPr>
        <w:t>SPECIMEN FOR REVIEW — NOT AN ISSUED INSTRUMENT.</w:t>
      </w:r>
    </w:p>
    <w:p>
      <w:r>
        <w:rPr>
          <w:rFonts w:ascii="Calibri" w:hAnsi="Calibri"/>
          <w:b w:val="0"/>
          <w:i/>
          <w:color w:val="404040"/>
          <w:sz w:val="21"/>
        </w:rPr>
        <w:t>Prepared by Lighthief from the issuing bank's own template, showing the terms on which the end-customer (Galascope Ltd) is named beneficiary. To be confirmed by Bank of Communications and issued on its letterhead after it receives the signed EPC and Sales Contract. Attach to the EPC as 'Form of Advance Payment Guarantee'.</w:t>
      </w:r>
    </w:p>
    <w:p/>
    <w:p>
      <w:r>
        <w:rPr>
          <w:rFonts w:ascii="Calibri" w:hAnsi="Calibri"/>
          <w:b w:val="0"/>
          <w:i w:val="0"/>
          <w:sz w:val="21"/>
        </w:rPr>
        <w:t>From:  Bank of Communications Co., Ltd., Jiangsu Provincial Branch</w:t>
      </w:r>
    </w:p>
    <w:p>
      <w:r>
        <w:rPr>
          <w:rFonts w:ascii="Calibri" w:hAnsi="Calibri"/>
          <w:b w:val="0"/>
          <w:i w:val="0"/>
          <w:sz w:val="21"/>
        </w:rPr>
        <w:t xml:space="preserve">       11 Floor, No.218 Lushan Road, Jianye District, Nanjing, Jiangsu, China (the “Bank”)</w:t>
      </w:r>
    </w:p>
    <w:p>
      <w:r>
        <w:rPr>
          <w:rFonts w:ascii="Calibri" w:hAnsi="Calibri"/>
          <w:b w:val="0"/>
          <w:i w:val="0"/>
          <w:sz w:val="21"/>
        </w:rPr>
        <w:t>To:    Galascope Ltd (HE 303759), Famagusta / Cyprus, and/or [Security Agent / Alpha Bank Cyprus] as its project finance security agent (the “Beneficiary”)</w:t>
      </w:r>
    </w:p>
    <w:p>
      <w:r>
        <w:rPr>
          <w:rFonts w:ascii="Calibri" w:hAnsi="Calibri"/>
          <w:b w:val="0"/>
          <w:i w:val="0"/>
          <w:sz w:val="21"/>
        </w:rPr>
        <w:t>Issuing Date:  [●]      Guarantee No.:  [●]      Advised through:  [●]</w:t>
      </w:r>
    </w:p>
    <w:p/>
    <w:p>
      <w:r>
        <w:rPr>
          <w:rFonts w:ascii="Calibri" w:hAnsi="Calibri"/>
          <w:b/>
          <w:i w:val="0"/>
          <w:sz w:val="21"/>
        </w:rPr>
        <w:t>ADVANCE PAYMENT GUARANTEE</w:t>
      </w:r>
    </w:p>
    <w:p/>
    <w:p>
      <w:r>
        <w:rPr>
          <w:rFonts w:ascii="Calibri" w:hAnsi="Calibri"/>
          <w:b w:val="0"/>
          <w:i w:val="0"/>
          <w:sz w:val="21"/>
        </w:rPr>
        <w:t>(1)  Whereas: (i) our client, Jiangsu Linyang Energy Storage Technology Co., Ltd (the “Applicant”), has entered into a Sales Contract dated 17 March 2026 with Lighthief Cyprus Ltd (HE 477423) for the supply of grid-connected BESS equipment (Component A) for the Galascope 1 (5 MW / 20.06 MWh effective) and Galascope 2 (2.5 MW / 10.03 MWh effective) projects, Famagusta, Cyprus (the “Sales Contract”); and (ii) Lighthief Cyprus Ltd has entered into an EPC contract ref. LCY-EPC-GAL-B1-2026 with you, the Beneficiary, for those projects (the “EPC Contract”), under which the advance payment in respect of the equipment is funded by the Beneficiary. At the request of the Applicant, we, the Bank, hereby issue this independent guarantee in your favour.</w:t>
      </w:r>
    </w:p>
    <w:p>
      <w:r>
        <w:rPr>
          <w:rFonts w:ascii="Calibri" w:hAnsi="Calibri"/>
          <w:b w:val="0"/>
          <w:i/>
          <w:color w:val="404040"/>
          <w:sz w:val="21"/>
        </w:rPr>
        <w:t>Note: The recital states the payment chain (Galascope → Lighthief → Linyang) so the bank can name Galascope as beneficiary directly. This is original issuance, not a transfer or assignment.</w:t>
      </w:r>
    </w:p>
    <w:p>
      <w:r>
        <w:rPr>
          <w:rFonts w:ascii="Calibri" w:hAnsi="Calibri"/>
          <w:b w:val="0"/>
          <w:i w:val="0"/>
          <w:sz w:val="21"/>
        </w:rPr>
        <w:t>(2)  We irrevocably guarantee to pay you, on first written demand, any sum up to a maximum aggregate amount of EUR 846,951 (say: [●] only) (the “Guaranteed Amount”), being one hundred percent (100%) of the advance payment made in respect of the equipment (Component A) under the Sales Contract.</w:t>
      </w:r>
    </w:p>
    <w:p>
      <w:r>
        <w:rPr>
          <w:rFonts w:ascii="Calibri" w:hAnsi="Calibri"/>
          <w:b w:val="0"/>
          <w:i/>
          <w:color w:val="404040"/>
          <w:sz w:val="21"/>
        </w:rPr>
        <w:t>Note: Guaranteed Amount = EUR 846,951 (advance on Component A / equipment only). EPC services (Component B) are outside this guarantee — the Beneficiary has accepted this.</w:t>
      </w:r>
    </w:p>
    <w:p>
      <w:r>
        <w:rPr>
          <w:rFonts w:ascii="Calibri" w:hAnsi="Calibri"/>
          <w:b w:val="0"/>
          <w:i w:val="0"/>
          <w:sz w:val="21"/>
        </w:rPr>
        <w:t>(3)  We shall pay upon receipt of your complying written demand stating that the Applicant has failed to deliver the equipment under the Sales Contract and/or has failed to refund the advance payment when obliged to do so, and that the equipment has not been delivered to Site, provided the aggregate amount claimed does not exceed the Guaranteed Amount. Payment shall be made in EUR within five (5) Business Days, without set-off or deduction.</w:t>
      </w:r>
    </w:p>
    <w:p>
      <w:r>
        <w:rPr>
          <w:rFonts w:ascii="Calibri" w:hAnsi="Calibri"/>
          <w:b w:val="0"/>
          <w:i w:val="0"/>
          <w:sz w:val="21"/>
        </w:rPr>
        <w:t>(4)  Our liability shall be reduced by each amount paid under this guarantee. The Guaranteed Amount shall not be reduced merely on presentation of shipping documents or a bill of lading.</w:t>
      </w:r>
    </w:p>
    <w:p>
      <w:r>
        <w:rPr>
          <w:rFonts w:ascii="Calibri" w:hAnsi="Calibri"/>
          <w:b w:val="0"/>
          <w:i w:val="0"/>
          <w:sz w:val="21"/>
        </w:rPr>
        <w:t>(5)  This guarantee comes into force upon the Applicant's receipt of the advance payment and remains valid until, and any demand must be received by the Bank on or before, the earlier of: (i) the date of issuance of the Provisional Acceptance Certificate (PAC) for the projects; and (ii) twelve (12) months after delivery of the equipment to Site, but in any event not later than [●] (the “Expiry Date”). After the Expiry Date this guarantee becomes null and void whether or not returned to us.</w:t>
      </w:r>
    </w:p>
    <w:p>
      <w:r>
        <w:rPr>
          <w:rFonts w:ascii="Calibri" w:hAnsi="Calibri"/>
          <w:b w:val="0"/>
          <w:i/>
          <w:color w:val="404040"/>
          <w:sz w:val="21"/>
        </w:rPr>
        <w:t>Note: Validity aligned to EPC v5.1 §10.9(d) / Anastasis board item #4: earlier of PAC or 12 months after delivery, auto-release on PAC.</w:t>
      </w:r>
    </w:p>
    <w:p>
      <w:r>
        <w:rPr>
          <w:rFonts w:ascii="Calibri" w:hAnsi="Calibri"/>
          <w:b w:val="0"/>
          <w:i w:val="0"/>
          <w:sz w:val="21"/>
        </w:rPr>
        <w:t>(6)  Any demand must be presented through your bank by authenticated SWIFT or in writing, your bank confirming that the signatories are authorised to bind the Beneficiary.</w:t>
      </w:r>
    </w:p>
    <w:p>
      <w:r>
        <w:rPr>
          <w:rFonts w:ascii="Calibri" w:hAnsi="Calibri"/>
          <w:b w:val="0"/>
          <w:i w:val="0"/>
          <w:sz w:val="21"/>
        </w:rPr>
        <w:t>(7)  This guarantee is subject to the Uniform Rules for Demand Guarantees (URDG), ICC Publication No. 758. [Governing law / jurisdiction: as required by the Bank — to be confirmed; the Beneficiary's lender may request a stated governing law.]</w:t>
      </w:r>
    </w:p>
    <w:p>
      <w:r>
        <w:rPr>
          <w:rFonts w:ascii="Calibri" w:hAnsi="Calibri"/>
          <w:b w:val="0"/>
          <w:i w:val="0"/>
          <w:sz w:val="21"/>
        </w:rPr>
        <w:t>(8)  All charges of the issuing Bank are for the account of the Applicant; charges of other banks are for the account of the Beneficiary.</w:t>
      </w:r>
    </w:p>
    <w:p/>
    <w:p>
      <w:r>
        <w:rPr>
          <w:rFonts w:ascii="Calibri" w:hAnsi="Calibri"/>
          <w:b w:val="0"/>
          <w:i w:val="0"/>
          <w:sz w:val="21"/>
        </w:rPr>
        <w:t>For and on behalf of Bank of Communications Co., Ltd., Jiangsu Provincial Branch</w:t>
      </w:r>
    </w:p>
    <w:p>
      <w:r>
        <w:rPr>
          <w:rFonts w:ascii="Calibri" w:hAnsi="Calibri"/>
          <w:b w:val="0"/>
          <w:i w:val="0"/>
          <w:sz w:val="21"/>
        </w:rPr>
        <w:t>[Authorised signatures / SWIFT authentication]</w:t>
      </w:r>
    </w:p>
    <w:p/>
    <w:p>
      <w:r>
        <w:rPr>
          <w:rFonts w:ascii="Calibri" w:hAnsi="Calibri"/>
          <w:b w:val="0"/>
          <w:i w:val="0"/>
          <w:color w:val="404040"/>
          <w:sz w:val="21"/>
        </w:rPr>
        <w:t>Specimen prepared by Lighthief Cyprus Ltd · HE 477423 · office@lighthief.com · +357 99 164 158 · solarfarms.cy — for confirmation by the issuing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