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65D"/>
          <w:sz w:val="28"/>
        </w:rPr>
        <w:t>DRAFT — ADVANCE PAYMENT GUARANTEE (CYPRUS / BACK-TO-BACK)</w:t>
      </w:r>
    </w:p>
    <w:p>
      <w:pPr>
        <w:jc w:val="center"/>
      </w:pPr>
      <w:r>
        <w:rPr>
          <w:color w:val="C9A432"/>
          <w:sz w:val="22"/>
        </w:rPr>
        <w:t>First-demand bank guarantee under URDG 758 — Lighthief to Galascope / lender</w:t>
      </w:r>
    </w:p>
    <w:p/>
    <w:p>
      <w:r>
        <w:rPr>
          <w:rFonts w:ascii="Calibri" w:hAnsi="Calibri"/>
          <w:b/>
          <w:i w:val="0"/>
          <w:sz w:val="21"/>
        </w:rPr>
        <w:t>DRAFT FOR DISCUSSION — Not valid until issued by a bank</w:t>
      </w:r>
    </w:p>
    <w:p>
      <w:r>
        <w:rPr>
          <w:rFonts w:ascii="Calibri" w:hAnsi="Calibri"/>
          <w:b w:val="0"/>
          <w:i/>
          <w:color w:val="404040"/>
          <w:sz w:val="21"/>
        </w:rPr>
        <w:t>Downstream instrument issued by the Applicant's Cyprus/EU bank in favour of the end-customer and/or its security agent. Back-to-back with the upstream Linyang / Bank of Communications APG, which is NON-TRANSFERABLE and remains in favour of Lighthief Cyprus Ltd.</w:t>
      </w:r>
    </w:p>
    <w:p/>
    <w:p>
      <w:r>
        <w:rPr>
          <w:rFonts w:ascii="Calibri" w:hAnsi="Calibri"/>
          <w:b w:val="0"/>
          <w:i w:val="0"/>
          <w:sz w:val="21"/>
        </w:rPr>
        <w:t>Place and date of issue:  [●]</w:t>
      </w:r>
    </w:p>
    <w:p>
      <w:r>
        <w:rPr>
          <w:rFonts w:ascii="Calibri" w:hAnsi="Calibri"/>
          <w:b w:val="0"/>
          <w:i w:val="0"/>
          <w:sz w:val="21"/>
        </w:rPr>
        <w:t>Guarantee No.:  [●]</w:t>
      </w:r>
    </w:p>
    <w:p>
      <w:r>
        <w:rPr>
          <w:rFonts w:ascii="Calibri" w:hAnsi="Calibri"/>
          <w:b w:val="0"/>
          <w:i w:val="0"/>
          <w:sz w:val="21"/>
        </w:rPr>
        <w:t>Issuing Bank:  [Bank of Cyprus Public Company Ltd / EU bank — full name, registered office, SWIFT BIC] (the “Bank”)</w:t>
      </w:r>
    </w:p>
    <w:p>
      <w:r>
        <w:rPr>
          <w:rFonts w:ascii="Calibri" w:hAnsi="Calibri"/>
          <w:b w:val="0"/>
          <w:i w:val="0"/>
          <w:sz w:val="21"/>
        </w:rPr>
        <w:t>Applicant:  Lighthief Cyprus Ltd (HE 477423), 28 October Ave 249, Lophitis Business Center 1, Office 201, 3035 Limassol, Cyprus (the “Applicant”)</w:t>
      </w:r>
    </w:p>
    <w:p>
      <w:r>
        <w:rPr>
          <w:rFonts w:ascii="Calibri" w:hAnsi="Calibri"/>
          <w:b w:val="0"/>
          <w:i w:val="0"/>
          <w:sz w:val="21"/>
        </w:rPr>
        <w:t>Beneficiary:  Galascope Ltd (HE 303759) and/or [Security Agent / Alpha Bank Cyprus] as its project finance security agent (the “Beneficiary”)</w:t>
      </w:r>
    </w:p>
    <w:p/>
    <w:p>
      <w:r>
        <w:rPr>
          <w:rFonts w:ascii="Calibri" w:hAnsi="Calibri"/>
          <w:b/>
          <w:i w:val="0"/>
          <w:sz w:val="21"/>
        </w:rPr>
        <w:t>ADVANCE PAYMENT GUARANTEE</w:t>
      </w:r>
    </w:p>
    <w:p/>
    <w:p>
      <w:r>
        <w:rPr>
          <w:rFonts w:ascii="Calibri" w:hAnsi="Calibri"/>
          <w:b w:val="0"/>
          <w:i w:val="0"/>
          <w:sz w:val="21"/>
        </w:rPr>
        <w:t>(1)  We have been informed by the Applicant that the Beneficiary and the Applicant have entered into an EPC agreement ref. LCY-EPC-GAL-B1-2026 (the “Contract”) for the engineering, procurement and construction of grid-connected BESS at Galascope 1 (5 MW / 20.06 MWh effective) and Galascope 2 (2.5 MW / 10.03 MWh effective), Famagusta, Cyprus, with an indicative contract value of EUR 3,444,300 (excl. VAT). Under the Contract the Beneficiary is required to pay the Applicant an advance payment (the “Advance Payment”) of EUR 1,033,290 against delivery of this guarantee.</w:t>
      </w:r>
    </w:p>
    <w:p>
      <w:r>
        <w:rPr>
          <w:rFonts w:ascii="Calibri" w:hAnsi="Calibri"/>
          <w:b w:val="0"/>
          <w:i w:val="0"/>
          <w:sz w:val="21"/>
        </w:rPr>
        <w:t>(2)  We, the Bank, acting on the instructions of the Applicant, hereby irrevocably and unconditionally guarantee, irrespective of the validity and legal effect of the Contract, to pay to the Beneficiary on first written demand any sum up to a maximum aggregate amount of:</w:t>
      </w:r>
    </w:p>
    <w:p>
      <w:r>
        <w:rPr>
          <w:rFonts w:ascii="Calibri" w:hAnsi="Calibri"/>
          <w:b/>
          <w:i w:val="0"/>
          <w:sz w:val="21"/>
        </w:rPr>
        <w:t xml:space="preserve">      EUR 1,033,290  (in words: [●])</w:t>
      </w:r>
    </w:p>
    <w:p>
      <w:r>
        <w:rPr>
          <w:rFonts w:ascii="Calibri" w:hAnsi="Calibri"/>
          <w:b w:val="0"/>
          <w:i w:val="0"/>
          <w:sz w:val="21"/>
        </w:rPr>
        <w:t>being one hundred percent (100%) of the Advance Payment, upon receipt of the Beneficiary’s first written demand accompanied by the Beneficiary’s statement that the Applicant has failed to refund the Advance Payment, or any part of it, when obliged to do so under the Contract, and stating the amount claimed.</w:t>
      </w:r>
    </w:p>
    <w:p>
      <w:r>
        <w:rPr>
          <w:rFonts w:ascii="Calibri" w:hAnsi="Calibri"/>
          <w:b w:val="0"/>
          <w:i/>
          <w:color w:val="404040"/>
          <w:sz w:val="21"/>
        </w:rPr>
        <w:t>Drafting note: Amount set to the full client advance (EUR 1,033,290). The upstream Linyang / Bank of Communications APG covers EUR 846,951 (equipment leg only); the balance of EUR 186,339 (services-leg advance) is supported by the Applicant’s cash margin / counter-indemnity to the Bank. If the lender accepts equipment-leg cover only, reduce the guaranteed amount to EUR 846,951.</w:t>
      </w:r>
    </w:p>
    <w:p>
      <w:r>
        <w:rPr>
          <w:rFonts w:ascii="Calibri" w:hAnsi="Calibri"/>
          <w:b w:val="0"/>
          <w:i w:val="0"/>
          <w:sz w:val="21"/>
        </w:rPr>
        <w:t>(3)  Payment under this guarantee shall be made within five (5) calendar days of the Bank’s receipt of a complying demand, in EUR, without set-off and without deduction for any costs, fees, taxes or charges. All banking charges of the Bank are for the account of the Applicant.</w:t>
      </w:r>
    </w:p>
    <w:p>
      <w:r>
        <w:rPr>
          <w:rFonts w:ascii="Calibri" w:hAnsi="Calibri"/>
          <w:b w:val="0"/>
          <w:i w:val="0"/>
          <w:sz w:val="21"/>
        </w:rPr>
        <w:t>(4)  The demand must be presented in writing to the Bank at its address in paragraph (8) or by authenticated SWIFT. Where presented through the Beneficiary’s bank, that bank shall confirm the signatures are those of persons authorised to bind the Beneficiary.</w:t>
      </w:r>
    </w:p>
    <w:p>
      <w:r>
        <w:rPr>
          <w:rFonts w:ascii="Calibri" w:hAnsi="Calibri"/>
          <w:b w:val="0"/>
          <w:i w:val="0"/>
          <w:sz w:val="21"/>
        </w:rPr>
        <w:t>(5)  Our liability under this guarantee shall be reduced by each amount paid by us under it.</w:t>
      </w:r>
    </w:p>
    <w:p>
      <w:r>
        <w:rPr>
          <w:rFonts w:ascii="Calibri" w:hAnsi="Calibri"/>
          <w:b w:val="0"/>
          <w:i w:val="0"/>
          <w:sz w:val="21"/>
        </w:rPr>
        <w:t>(5A)  Without prejudice to paragraph (5), the maximum amount of this guarantee shall reduce only as and when the Advance Payment is contractually amortised against accepted equipment under the Contract, such reduction taking effect on delivery of the relevant equipment to Site and acceptance by the Beneficiary, evidenced by a delivery/acceptance certificate. Presentation of shipping documents or a bill of lading alone shall not reduce the amount of this guarantee.</w:t>
      </w:r>
    </w:p>
    <w:p>
      <w:r>
        <w:rPr>
          <w:rFonts w:ascii="Calibri" w:hAnsi="Calibri"/>
          <w:b w:val="0"/>
          <w:i w:val="0"/>
          <w:sz w:val="21"/>
        </w:rPr>
        <w:t>(6)  The Beneficiary may submit a demand only after the Advance Payment has been credited to the Applicant’s account No. [●] maintained with [name of Applicant’s bank] (SWIFT: [●]).</w:t>
      </w:r>
    </w:p>
    <w:p>
      <w:r>
        <w:rPr>
          <w:rFonts w:ascii="Calibri" w:hAnsi="Calibri"/>
          <w:b w:val="0"/>
          <w:i w:val="0"/>
          <w:sz w:val="21"/>
        </w:rPr>
        <w:t>(7)  This guarantee is valid until, and any demand must be received by the Bank on or before, the earlier of: (i) the date falling thirty (30) days after delivery of the equipment to Site (CIF Limassol, unloaded, Incoterms 2020); and (ii) [●] (a hard longstop date) (the “Expiry Date”).</w:t>
      </w:r>
    </w:p>
    <w:p>
      <w:r>
        <w:rPr>
          <w:rFonts w:ascii="Calibri" w:hAnsi="Calibri"/>
          <w:b w:val="0"/>
          <w:i/>
          <w:color w:val="404040"/>
          <w:sz w:val="21"/>
        </w:rPr>
        <w:t>Drafting note: Expiry keyed to delivery-to-Site + 30 days, matching the upstream APG so the back-to-back chain runs off and on at the same time. The gap between delivery and PAC is covered by the separate 5% performance security and the OEM Direct Warranty Undertaking, not by extending this advance-refund guarantee.</w:t>
      </w:r>
    </w:p>
    <w:p>
      <w:r>
        <w:rPr>
          <w:rFonts w:ascii="Calibri" w:hAnsi="Calibri"/>
          <w:b w:val="0"/>
          <w:i w:val="0"/>
          <w:sz w:val="21"/>
        </w:rPr>
        <w:t>(8)  Any demand must be delivered to the Bank at [● full address of issuing branch / trade finance unit] no later than [●] hours (local time) on the Expiry Date.</w:t>
      </w:r>
    </w:p>
    <w:p>
      <w:r>
        <w:rPr>
          <w:rFonts w:ascii="Calibri" w:hAnsi="Calibri"/>
          <w:b w:val="0"/>
          <w:i w:val="0"/>
          <w:sz w:val="21"/>
        </w:rPr>
        <w:t>(9)  This guarantee is subject to the Uniform Rules for Demand Guarantees, ICC Publication No. 758 (URDG 758), and, to the extent not inconsistent therewith, is governed by the laws of Cyprus. Any dispute between the Bank and the Beneficiary shall be subject to the exclusive jurisdiction of the courts of Cyprus.</w:t>
      </w:r>
    </w:p>
    <w:p>
      <w:r>
        <w:rPr>
          <w:rFonts w:ascii="Calibri" w:hAnsi="Calibri"/>
          <w:b w:val="0"/>
          <w:i w:val="0"/>
          <w:sz w:val="21"/>
        </w:rPr>
        <w:t>(10)  Assignment of proceeds. The Beneficiary may assign the proceeds of this guarantee to a project finance lender or security agent without the Bank’s further consent, against written notice to the Bank. This guarantee is issued directly in favour of the Beneficiary (and/or its security agent), so no transfer of beneficiary status from a third party is required.</w:t>
      </w:r>
    </w:p>
    <w:p>
      <w:r>
        <w:rPr>
          <w:rFonts w:ascii="Calibri" w:hAnsi="Calibri"/>
          <w:b w:val="0"/>
          <w:i/>
          <w:color w:val="404040"/>
          <w:sz w:val="21"/>
        </w:rPr>
        <w:t>Drafting note: This is the key advantage of the downstream Cyprus instrument: because it is issued directly to Galascope / the security agent, the lender does not depend on transferring the upstream Chinese guarantee (which Linyang’s bank will not make transferable).</w:t>
      </w:r>
    </w:p>
    <w:p/>
    <w:p>
      <w:r>
        <w:rPr>
          <w:rFonts w:ascii="Calibri" w:hAnsi="Calibri"/>
          <w:b w:val="0"/>
          <w:i w:val="0"/>
          <w:sz w:val="21"/>
        </w:rPr>
        <w:t>Issued by the Bank:</w:t>
      </w:r>
    </w:p>
    <w:p>
      <w:r>
        <w:rPr>
          <w:rFonts w:ascii="Calibri" w:hAnsi="Calibri"/>
          <w:b w:val="0"/>
          <w:i w:val="0"/>
          <w:sz w:val="21"/>
        </w:rPr>
        <w:t>[Issuing Bank — authorised signatures]</w:t>
      </w:r>
    </w:p>
    <w:p>
      <w:r>
        <w:rPr>
          <w:rFonts w:ascii="Calibri" w:hAnsi="Calibri"/>
          <w:b w:val="0"/>
          <w:i w:val="0"/>
          <w:sz w:val="21"/>
        </w:rPr>
        <w:t>_______________________________        _______________________________</w:t>
      </w:r>
    </w:p>
    <w:p>
      <w:r>
        <w:rPr>
          <w:rFonts w:ascii="Calibri" w:hAnsi="Calibri"/>
          <w:b w:val="0"/>
          <w:i w:val="0"/>
          <w:sz w:val="21"/>
        </w:rPr>
        <w:t>Authorised signatory                                   Authorised signatory</w:t>
      </w:r>
    </w:p>
    <w:p/>
    <w:p>
      <w:r>
        <w:rPr>
          <w:rFonts w:ascii="Calibri" w:hAnsi="Calibri"/>
          <w:b w:val="0"/>
          <w:i w:val="0"/>
          <w:color w:val="404040"/>
          <w:sz w:val="21"/>
        </w:rPr>
        <w:t>Lighthief Cyprus Ltd · HE 477423 · office@lighthief.com · +357 99 164 158 · solarfarms.cy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