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1A365D"/>
          <w:sz w:val="30"/>
        </w:rPr>
        <w:t>Agia Anna Wind Farm Hybrid — BESS EPC Package</w:t>
      </w:r>
    </w:p>
    <w:p>
      <w:pPr>
        <w:jc w:val="center"/>
      </w:pPr>
      <w:r>
        <w:rPr>
          <w:rFonts w:ascii="Calibri" w:hAnsi="Calibri"/>
          <w:b w:val="0"/>
          <w:i/>
          <w:color w:val="C9A432"/>
          <w:sz w:val="20"/>
        </w:rPr>
        <w:t>T.P. Aeolian Dynamics Ltd — 6.68 MW / 20.06 MWh (T8 MV Skid, 3-hour), Agia Anna, Larnaca, Cyprus  ·  Ref. LCY-EPC-AEO-2026 (v1, June 2026)</w:t>
      </w:r>
    </w:p>
    <w:p/>
    <w:p>
      <w:pPr>
        <w:spacing w:after="100"/>
        <w:jc w:val="both"/>
      </w:pPr>
      <w:r>
        <w:rPr>
          <w:rFonts w:ascii="Calibri" w:hAnsi="Calibri"/>
          <w:b w:val="0"/>
          <w:i w:val="0"/>
          <w:sz w:val="21"/>
        </w:rPr>
        <w:t>To: T.P. Aeolian Dynamics Ltd — Sotiris Shiacallis (Director), and advisers / board.</w:t>
      </w:r>
    </w:p>
    <w:p>
      <w:pPr>
        <w:spacing w:after="100"/>
        <w:jc w:val="both"/>
      </w:pPr>
      <w:r>
        <w:rPr>
          <w:rFonts w:ascii="Calibri" w:hAnsi="Calibri"/>
          <w:b w:val="0"/>
          <w:i w:val="0"/>
          <w:sz w:val="21"/>
        </w:rPr>
        <w:t>From: Lighthief Cyprus Ltd — Alexander Papacosta (Director).</w:t>
      </w:r>
    </w:p>
    <w:p>
      <w:pPr>
        <w:spacing w:before="240" w:after="80"/>
      </w:pPr>
      <w:r>
        <w:rPr>
          <w:rFonts w:ascii="Calibri" w:hAnsi="Calibri"/>
          <w:b/>
          <w:i w:val="0"/>
          <w:color w:val="C9A432"/>
          <w:sz w:val="24"/>
        </w:rPr>
        <w:t>How this package works</w:t>
      </w:r>
    </w:p>
    <w:p>
      <w:pPr>
        <w:pStyle w:val="ListBullet"/>
      </w:pPr>
      <w:r>
        <w:rPr>
          <w:rFonts w:ascii="Calibri" w:hAnsi="Calibri"/>
          <w:b w:val="0"/>
          <w:i w:val="0"/>
          <w:sz w:val="21"/>
        </w:rPr>
        <w:t>The EPC Agreement is signed now. Signing triggers the advance payment within seven (7) days, conditional on Lighthief presenting the Direct Warranty Undertaking, the bank APG (with Aeolian as beneficiary) and the OEM performance guarantee.</w:t>
      </w:r>
    </w:p>
    <w:p>
      <w:pPr>
        <w:pStyle w:val="ListBullet"/>
      </w:pPr>
      <w:r>
        <w:rPr>
          <w:rFonts w:ascii="Calibri" w:hAnsi="Calibri"/>
          <w:b w:val="0"/>
          <w:i w:val="0"/>
          <w:sz w:val="21"/>
        </w:rPr>
        <w:t>Unlike some projects, there is no separate grid-connection trigger: the 22 kV line to PSEUDAS S/S is already in place. The advance is due from EPC Effective Date.</w:t>
      </w:r>
    </w:p>
    <w:p>
      <w:pPr>
        <w:pStyle w:val="ListBullet"/>
      </w:pPr>
      <w:r>
        <w:rPr>
          <w:rFonts w:ascii="Calibri" w:hAnsi="Calibri"/>
          <w:b w:val="0"/>
          <w:i w:val="0"/>
          <w:sz w:val="21"/>
        </w:rPr>
        <w:t>The companion documents below travel with this pack for review now; they are executed at the order trigger (same moment as the advance), not before.</w:t>
      </w:r>
    </w:p>
    <w:p>
      <w:pPr>
        <w:pStyle w:val="ListBullet"/>
      </w:pPr>
      <w:r>
        <w:rPr>
          <w:rFonts w:ascii="Calibri" w:hAnsi="Calibri"/>
          <w:b w:val="0"/>
          <w:i w:val="0"/>
          <w:sz w:val="21"/>
        </w:rPr>
        <w:t>No advance is payable until the signed DWU, bank APG and performance guarantee are all presented. If any is not provided in the agreed form, either party may withdraw with no liability.</w:t>
      </w:r>
    </w:p>
    <w:p>
      <w:pPr>
        <w:spacing w:before="240" w:after="80"/>
      </w:pPr>
      <w:r>
        <w:rPr>
          <w:rFonts w:ascii="Calibri" w:hAnsi="Calibri"/>
          <w:b/>
          <w:i w:val="0"/>
          <w:color w:val="C9A432"/>
          <w:sz w:val="24"/>
        </w:rPr>
        <w:t>Documents in this package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Calibri" w:hAnsi="Calibri"/>
                <w:b/>
                <w:i w:val="0"/>
                <w:sz w:val="20"/>
              </w:rPr>
              <w:t>#</w:t>
            </w:r>
          </w:p>
        </w:tc>
        <w:tc>
          <w:tcPr>
            <w:tcW w:type="dxa" w:w="2880"/>
          </w:tcPr>
          <w:p>
            <w:r>
              <w:rPr>
                <w:rFonts w:ascii="Calibri" w:hAnsi="Calibri"/>
                <w:b/>
                <w:i w:val="0"/>
                <w:sz w:val="20"/>
              </w:rPr>
              <w:t>Document</w:t>
            </w:r>
          </w:p>
        </w:tc>
        <w:tc>
          <w:tcPr>
            <w:tcW w:type="dxa" w:w="2880"/>
          </w:tcPr>
          <w:p>
            <w:r>
              <w:rPr>
                <w:rFonts w:ascii="Calibri" w:hAnsi="Calibri"/>
                <w:b/>
                <w:i w:val="0"/>
                <w:sz w:val="20"/>
              </w:rPr>
              <w:t>Status</w:t>
            </w:r>
          </w:p>
        </w:tc>
      </w:tr>
      <w:tr>
        <w:tc>
          <w:tcPr>
            <w:tcW w:type="dxa" w:w="2880"/>
          </w:tcPr>
          <w:p>
            <w:r>
              <w:rPr>
                <w:rFonts w:ascii="Calibri" w:hAnsi="Calibri"/>
                <w:b w:val="0"/>
                <w:i w:val="0"/>
                <w:sz w:val="21"/>
              </w:rPr>
              <w:t>01</w:t>
            </w:r>
          </w:p>
        </w:tc>
        <w:tc>
          <w:tcPr>
            <w:tcW w:type="dxa" w:w="2880"/>
          </w:tcPr>
          <w:p>
            <w:r>
              <w:rPr>
                <w:rFonts w:ascii="Calibri" w:hAnsi="Calibri"/>
                <w:b w:val="0"/>
                <w:i w:val="0"/>
                <w:sz w:val="21"/>
              </w:rPr>
              <w:t>EPC Agreement — Agia Anna Wind-Farm Hybrid BESS</w:t>
            </w:r>
          </w:p>
        </w:tc>
        <w:tc>
          <w:tcPr>
            <w:tcW w:type="dxa" w:w="2880"/>
          </w:tcPr>
          <w:p>
            <w:r>
              <w:rPr>
                <w:rFonts w:ascii="Calibri" w:hAnsi="Calibri"/>
                <w:b w:val="0"/>
                <w:i w:val="0"/>
                <w:sz w:val="21"/>
              </w:rPr>
              <w:t>For signature</w:t>
            </w:r>
          </w:p>
        </w:tc>
      </w:tr>
      <w:tr>
        <w:tc>
          <w:tcPr>
            <w:tcW w:type="dxa" w:w="2880"/>
          </w:tcPr>
          <w:p>
            <w:r>
              <w:rPr>
                <w:rFonts w:ascii="Calibri" w:hAnsi="Calibri"/>
                <w:b w:val="0"/>
                <w:i w:val="0"/>
                <w:sz w:val="21"/>
              </w:rPr>
              <w:t>03</w:t>
            </w:r>
          </w:p>
        </w:tc>
        <w:tc>
          <w:tcPr>
            <w:tcW w:type="dxa" w:w="2880"/>
          </w:tcPr>
          <w:p>
            <w:r>
              <w:rPr>
                <w:rFonts w:ascii="Calibri" w:hAnsi="Calibri"/>
                <w:b w:val="0"/>
                <w:i w:val="0"/>
                <w:sz w:val="21"/>
              </w:rPr>
              <w:t>LTSA — Long-Term Service Agreement (Ref. LCY-LTSA-AEO-2026)</w:t>
            </w:r>
          </w:p>
        </w:tc>
        <w:tc>
          <w:tcPr>
            <w:tcW w:type="dxa" w:w="2880"/>
          </w:tcPr>
          <w:p>
            <w:r>
              <w:rPr>
                <w:rFonts w:ascii="Calibri" w:hAnsi="Calibri"/>
                <w:b w:val="0"/>
                <w:i w:val="0"/>
                <w:sz w:val="21"/>
              </w:rPr>
              <w:t>For review</w:t>
            </w:r>
          </w:p>
        </w:tc>
      </w:tr>
      <w:tr>
        <w:tc>
          <w:tcPr>
            <w:tcW w:type="dxa" w:w="2880"/>
          </w:tcPr>
          <w:p>
            <w:r>
              <w:rPr>
                <w:rFonts w:ascii="Calibri" w:hAnsi="Calibri"/>
                <w:b w:val="0"/>
                <w:i w:val="0"/>
                <w:sz w:val="21"/>
              </w:rPr>
              <w:t>04</w:t>
            </w:r>
          </w:p>
        </w:tc>
        <w:tc>
          <w:tcPr>
            <w:tcW w:type="dxa" w:w="2880"/>
          </w:tcPr>
          <w:p>
            <w:r>
              <w:rPr>
                <w:rFonts w:ascii="Calibri" w:hAnsi="Calibri"/>
                <w:b w:val="0"/>
                <w:i w:val="0"/>
                <w:sz w:val="21"/>
              </w:rPr>
              <w:t>OEM Direct Warranty Undertaking</w:t>
            </w:r>
          </w:p>
        </w:tc>
        <w:tc>
          <w:tcPr>
            <w:tcW w:type="dxa" w:w="2880"/>
          </w:tcPr>
          <w:p>
            <w:r>
              <w:rPr>
                <w:rFonts w:ascii="Calibri" w:hAnsi="Calibri"/>
                <w:b w:val="0"/>
                <w:i w:val="0"/>
                <w:sz w:val="21"/>
              </w:rPr>
              <w:t>Draft — signed by OEM at order</w:t>
            </w:r>
          </w:p>
        </w:tc>
      </w:tr>
      <w:tr>
        <w:tc>
          <w:tcPr>
            <w:tcW w:type="dxa" w:w="2880"/>
          </w:tcPr>
          <w:p>
            <w:r>
              <w:rPr>
                <w:rFonts w:ascii="Calibri" w:hAnsi="Calibri"/>
                <w:b w:val="0"/>
                <w:i w:val="0"/>
                <w:sz w:val="21"/>
              </w:rPr>
              <w:t>05</w:t>
            </w:r>
          </w:p>
        </w:tc>
        <w:tc>
          <w:tcPr>
            <w:tcW w:type="dxa" w:w="2880"/>
          </w:tcPr>
          <w:p>
            <w:r>
              <w:rPr>
                <w:rFonts w:ascii="Calibri" w:hAnsi="Calibri"/>
                <w:b w:val="0"/>
                <w:i w:val="0"/>
                <w:sz w:val="21"/>
              </w:rPr>
              <w:t>Advance Payment Guarantee — specimen (APG, Aeolian beneficiary)</w:t>
            </w:r>
          </w:p>
        </w:tc>
        <w:tc>
          <w:tcPr>
            <w:tcW w:type="dxa" w:w="2880"/>
          </w:tcPr>
          <w:p>
            <w:r>
              <w:rPr>
                <w:rFonts w:ascii="Calibri" w:hAnsi="Calibri"/>
                <w:b w:val="0"/>
                <w:i w:val="0"/>
                <w:sz w:val="21"/>
              </w:rPr>
              <w:t>Form for review; bank-issued before advance</w:t>
            </w:r>
          </w:p>
        </w:tc>
      </w:tr>
      <w:tr>
        <w:tc>
          <w:tcPr>
            <w:tcW w:type="dxa" w:w="2880"/>
          </w:tcPr>
          <w:p>
            <w:r>
              <w:rPr>
                <w:rFonts w:ascii="Calibri" w:hAnsi="Calibri"/>
                <w:b w:val="0"/>
                <w:i w:val="0"/>
                <w:sz w:val="21"/>
              </w:rPr>
              <w:t>06</w:t>
            </w:r>
          </w:p>
        </w:tc>
        <w:tc>
          <w:tcPr>
            <w:tcW w:type="dxa" w:w="2880"/>
          </w:tcPr>
          <w:p>
            <w:r>
              <w:rPr>
                <w:rFonts w:ascii="Calibri" w:hAnsi="Calibri"/>
                <w:b w:val="0"/>
                <w:i w:val="0"/>
                <w:sz w:val="21"/>
              </w:rPr>
              <w:t>OEM 5% Performance Guarantee</w:t>
            </w:r>
          </w:p>
        </w:tc>
        <w:tc>
          <w:tcPr>
            <w:tcW w:type="dxa" w:w="2880"/>
          </w:tcPr>
          <w:p>
            <w:r>
              <w:rPr>
                <w:rFonts w:ascii="Calibri" w:hAnsi="Calibri"/>
                <w:b w:val="0"/>
                <w:i w:val="0"/>
                <w:sz w:val="21"/>
              </w:rPr>
              <w:t>Form for review; issued at order</w:t>
            </w:r>
          </w:p>
        </w:tc>
      </w:tr>
    </w:tbl>
    <w:p>
      <w:pPr>
        <w:spacing w:after="100"/>
        <w:jc w:val="both"/>
      </w:pPr>
      <w:r>
        <w:rPr>
          <w:rFonts w:ascii="Calibri" w:hAnsi="Calibri"/>
          <w:b w:val="0"/>
          <w:i/>
          <w:color w:val="404040"/>
          <w:sz w:val="19"/>
        </w:rPr>
        <w:t>The EMS Subscription Addendum (DISPERON) and the one-page Ownership &amp; Guarantee Flow explainer will follow under separate cover.</w:t>
      </w:r>
    </w:p>
    <w:p>
      <w:pPr>
        <w:spacing w:before="240" w:after="80"/>
      </w:pPr>
      <w:r>
        <w:rPr>
          <w:rFonts w:ascii="Calibri" w:hAnsi="Calibri"/>
          <w:b/>
          <w:i w:val="0"/>
          <w:color w:val="C9A432"/>
          <w:sz w:val="24"/>
        </w:rPr>
        <w:t>Key protections built in for the Client</w:t>
      </w:r>
    </w:p>
    <w:p>
      <w:pPr>
        <w:pStyle w:val="ListBullet"/>
      </w:pPr>
      <w:r>
        <w:rPr>
          <w:rFonts w:ascii="Calibri" w:hAnsi="Calibri"/>
          <w:b w:val="0"/>
          <w:i w:val="0"/>
          <w:sz w:val="21"/>
        </w:rPr>
        <w:t>The manufacturer's equipment supply is secured by two first-demand bank guarantees totalling EUR [●]: APG No. 1 (EUR [●], 25% of the equipment supply value) issued before the advance, and APG No. 2 (EUR [●], 50% of the equipment supply value) issued at the Factory Acceptance Test before the ready-to-ship payment. These secure the equipment refund from the manufacturer. Your milestone payments (25% / 50% of the total contract price) also include EPC services; that portion is protected by FAT before payment, the 5% performance guarantee, and your possession and title of the equipment once delivered.</w:t>
      </w:r>
    </w:p>
    <w:p>
      <w:pPr>
        <w:pStyle w:val="ListBullet"/>
      </w:pPr>
      <w:r>
        <w:rPr>
          <w:rFonts w:ascii="Calibri" w:hAnsi="Calibri"/>
          <w:b w:val="0"/>
          <w:i w:val="0"/>
          <w:sz w:val="21"/>
        </w:rPr>
        <w:t>Both APGs name Aeolian directly as beneficiary and are kept valid to PAC (or 12 months after delivery), so faults found at commissioning remain covered.</w:t>
      </w:r>
    </w:p>
    <w:p>
      <w:pPr>
        <w:pStyle w:val="ListBullet"/>
      </w:pPr>
      <w:r>
        <w:rPr>
          <w:rFonts w:ascii="Calibri" w:hAnsi="Calibri"/>
          <w:b w:val="0"/>
          <w:i w:val="0"/>
          <w:sz w:val="21"/>
        </w:rPr>
        <w:t>A Factory Acceptance Test (FAT) lets you or your inspector witness factory testing and have defects fixed before the ready-to-ship payment and before shipment.</w:t>
      </w:r>
    </w:p>
    <w:p>
      <w:pPr>
        <w:pStyle w:val="ListBullet"/>
      </w:pPr>
      <w:r>
        <w:rPr>
          <w:rFonts w:ascii="Calibri" w:hAnsi="Calibri"/>
          <w:b w:val="0"/>
          <w:i w:val="0"/>
          <w:sz w:val="21"/>
        </w:rPr>
        <w:t>Your right to reject and require remedy runs to commissioning / PAC, not just 30 days after delivery.</w:t>
      </w:r>
    </w:p>
    <w:p>
      <w:pPr>
        <w:pStyle w:val="ListBullet"/>
      </w:pPr>
      <w:r>
        <w:rPr>
          <w:rFonts w:ascii="Calibri" w:hAnsi="Calibri"/>
          <w:b w:val="0"/>
          <w:i w:val="0"/>
          <w:sz w:val="21"/>
        </w:rPr>
        <w:t>Title passes to you on the earlier of PAC or 12 months after delivery — so ownership never lags the end of APG cover (Lighthief retaining a security interest for any unpaid balance if title passes before PAC).</w:t>
      </w:r>
    </w:p>
    <w:p>
      <w:pPr>
        <w:pStyle w:val="ListBullet"/>
      </w:pPr>
      <w:r>
        <w:rPr>
          <w:rFonts w:ascii="Calibri" w:hAnsi="Calibri"/>
          <w:b w:val="0"/>
          <w:i w:val="0"/>
          <w:sz w:val="21"/>
        </w:rPr>
        <w:t>The Contract Price is a fixed lump sum, confirmed at signing on the manufacturer's then-current quotation; it does not change with raw-material or exchange-rate movements. Any change after signing is only by written change order agreed by both parties.</w:t>
      </w:r>
    </w:p>
    <w:p>
      <w:pPr>
        <w:pStyle w:val="ListBullet"/>
      </w:pPr>
      <w:r>
        <w:rPr>
          <w:rFonts w:ascii="Calibri" w:hAnsi="Calibri"/>
          <w:b w:val="0"/>
          <w:i w:val="0"/>
          <w:sz w:val="21"/>
        </w:rPr>
        <w:t>Delivery timeline and production lead time are confirmed at order release; production lead time is indicative only and may change from any figure discussed. If the confirmed timeline is unacceptable, you may withdraw without liability (bilateral walk-away right, Section 1A.2).</w:t>
      </w:r>
    </w:p>
    <w:p>
      <w:pPr>
        <w:pStyle w:val="ListBullet"/>
      </w:pPr>
      <w:r>
        <w:rPr>
          <w:rFonts w:ascii="Calibri" w:hAnsi="Calibri"/>
          <w:b w:val="0"/>
          <w:i w:val="0"/>
          <w:sz w:val="21"/>
        </w:rPr>
        <w:t>Continuous layered cover: APGs to PAC → CAR / erection all-risks (port of discharge → PAC) → 5% performance guarantee → 5-year OEM warranty &amp; DWU.</w:t>
      </w:r>
    </w:p>
    <w:p>
      <w:pPr>
        <w:pStyle w:val="ListBullet"/>
      </w:pPr>
      <w:r>
        <w:rPr>
          <w:rFonts w:ascii="Calibri" w:hAnsi="Calibri"/>
          <w:b w:val="0"/>
          <w:i w:val="0"/>
          <w:sz w:val="21"/>
        </w:rPr>
        <w:t>The OEM's standard warranty caps aggregate liability at 10% of the payment received for defective products. The EPC and DWU include a manufacturing-defect carve-out (OEM bears full repair/replacement cost for confirmed manufacturing defects). FAT is the primary protection against a large proportion of equipment being faulty.</w:t>
      </w:r>
    </w:p>
    <w:p>
      <w:pPr>
        <w:spacing w:before="240" w:after="80"/>
      </w:pPr>
      <w:r>
        <w:rPr>
          <w:rFonts w:ascii="Calibri" w:hAnsi="Calibri"/>
          <w:b/>
          <w:i w:val="0"/>
          <w:color w:val="C9A432"/>
          <w:sz w:val="24"/>
        </w:rPr>
        <w:t>Note — Kehua PCS and OEM scope</w:t>
      </w:r>
    </w:p>
    <w:p>
      <w:pPr>
        <w:spacing w:after="100"/>
        <w:jc w:val="both"/>
      </w:pPr>
      <w:r>
        <w:rPr>
          <w:rFonts w:ascii="Calibri" w:hAnsi="Calibri"/>
          <w:b w:val="0"/>
          <w:i w:val="0"/>
          <w:sz w:val="21"/>
        </w:rPr>
        <w:t>The PCS is Kehua C-series (BCS1000K-C-HUD), supplied within Linyang's commercial scope as part of Linyang's integrated BESS offering. The Kehua PCS is an OEM-supplied product and is covered under the Linyang product warranty and Direct Warranty Undertaking.</w:t>
      </w:r>
    </w:p>
    <w:p>
      <w:pPr>
        <w:spacing w:before="240" w:after="80"/>
      </w:pPr>
      <w:r>
        <w:rPr>
          <w:rFonts w:ascii="Calibri" w:hAnsi="Calibri"/>
          <w:b/>
          <w:i w:val="0"/>
          <w:color w:val="C9A432"/>
          <w:sz w:val="24"/>
        </w:rPr>
        <w:t>Note — BESS configuration: T8 MV Skid / 3-hour system</w:t>
      </w:r>
    </w:p>
    <w:p>
      <w:pPr>
        <w:spacing w:after="100"/>
        <w:jc w:val="both"/>
      </w:pPr>
      <w:r>
        <w:rPr>
          <w:rFonts w:ascii="Calibri" w:hAnsi="Calibri"/>
          <w:b w:val="0"/>
          <w:i w:val="0"/>
          <w:sz w:val="21"/>
        </w:rPr>
        <w:t>The BESS comprises four (4) battery containers (5.015 MWh each = 20.06 MWh) and a single T8 MV Skid — one container housing 8 × Kehua BCS1000K PCS (1.0 MW each) = 8 MW hardware, EMS-limited to 6.68 MW. This provides 20.06 MWh ÷ 6.68 MW = exactly 3.0 hours duration at full rated export power — meeting the grant-scheme requirement with headroom. The DISPERON EMS enforces the combined wind + BESS export limit on the 22 kV line to PSEUDAS S/S via IEC 60870-5-104 interface with the existing ABB wind farm controller (Section 4.6). This is a PAC condition and is included in the EPC scope at no additional cost.</w:t>
      </w:r>
    </w:p>
    <w:p>
      <w:pPr>
        <w:spacing w:before="240" w:after="80"/>
      </w:pPr>
      <w:r>
        <w:rPr>
          <w:rFonts w:ascii="Calibri" w:hAnsi="Calibri"/>
          <w:b/>
          <w:i w:val="0"/>
          <w:color w:val="C9A432"/>
          <w:sz w:val="24"/>
        </w:rPr>
        <w:t>Note — Switchgear bay extension (included in our scope)</w:t>
      </w:r>
    </w:p>
    <w:p>
      <w:pPr>
        <w:spacing w:after="100"/>
        <w:jc w:val="both"/>
      </w:pPr>
      <w:r>
        <w:rPr>
          <w:rFonts w:ascii="Calibri" w:hAnsi="Calibri"/>
          <w:b w:val="0"/>
          <w:i w:val="0"/>
          <w:sz w:val="21"/>
        </w:rPr>
        <w:t>Because the BESS connects into your existing 22 kV wind-farm switchgear, our Component B scope includes the design, supply and installation of a new switchgear bay (bay J04, ABB ZX1.2-compatible MV cubicle) extending the existing switchboard, and the MV termination of the T8 MV Skid into that bay (Section 4.7). This is included in the Contract Price. We ask Aeolian to provide safe access and accurate as-built / protection data for the existing switchboard; any latent defect in the existing switchgear not caused by us is outside our scope.</w:t>
      </w:r>
    </w:p>
    <w:p>
      <w:pPr>
        <w:spacing w:before="240" w:after="80"/>
      </w:pPr>
      <w:r>
        <w:rPr>
          <w:rFonts w:ascii="Calibri" w:hAnsi="Calibri"/>
          <w:b/>
          <w:i w:val="0"/>
          <w:color w:val="C9A432"/>
          <w:sz w:val="24"/>
        </w:rPr>
        <w:t>Note — Army firing range site access</w:t>
      </w:r>
    </w:p>
    <w:p>
      <w:pPr>
        <w:spacing w:after="100"/>
        <w:jc w:val="both"/>
      </w:pPr>
      <w:r>
        <w:rPr>
          <w:rFonts w:ascii="Calibri" w:hAnsi="Calibri"/>
          <w:b w:val="0"/>
          <w:i w:val="0"/>
          <w:sz w:val="21"/>
        </w:rPr>
        <w:t>The Agia Anna site is adjacent to an army firing range. Aeolian is responsible for coordinating access windows with the National Guard (Section 2A.1). Access delays caused by the military authority extend the Target PAC Date day-for-day with no Delay LDs accruing for that period.</w:t>
      </w:r>
    </w:p>
    <w:p>
      <w:pPr>
        <w:spacing w:before="240" w:after="80"/>
      </w:pPr>
      <w:r>
        <w:rPr>
          <w:rFonts w:ascii="Calibri" w:hAnsi="Calibri"/>
          <w:b/>
          <w:i w:val="0"/>
          <w:color w:val="C9A432"/>
          <w:sz w:val="24"/>
        </w:rPr>
        <w:t>Note — Grant scheme</w:t>
      </w:r>
    </w:p>
    <w:p>
      <w:pPr>
        <w:spacing w:after="100"/>
        <w:jc w:val="both"/>
      </w:pPr>
      <w:r>
        <w:rPr>
          <w:rFonts w:ascii="Calibri" w:hAnsi="Calibri"/>
          <w:b w:val="0"/>
          <w:i w:val="0"/>
          <w:sz w:val="21"/>
        </w:rPr>
        <w:t>This project is a participant in the Θ.Α.ΛΕ.Ι.Α 2021–2027 Just Transition Fund grant scheme. The BESS configuration (6.68 MW / 20.06 MWh at POC) meets the tender specification (≥5.4 MW, ≥16.2 MWh, ≥7,000 cycles) with headroom. Grant administration and compliance are Aeolian's responsibility; Lighthief provides as-built technical documentation to support grant filings.</w:t>
      </w:r>
    </w:p>
    <w:p>
      <w:pPr>
        <w:spacing w:before="240" w:after="80"/>
      </w:pPr>
      <w:r>
        <w:rPr>
          <w:rFonts w:ascii="Calibri" w:hAnsi="Calibri"/>
          <w:b/>
          <w:i w:val="0"/>
          <w:color w:val="C9A432"/>
          <w:sz w:val="24"/>
        </w:rPr>
        <w:t>Note — Governing law</w:t>
      </w:r>
    </w:p>
    <w:p>
      <w:pPr>
        <w:spacing w:after="100"/>
        <w:jc w:val="both"/>
      </w:pPr>
      <w:r>
        <w:rPr>
          <w:rFonts w:ascii="Calibri" w:hAnsi="Calibri"/>
          <w:b w:val="0"/>
          <w:i w:val="0"/>
          <w:sz w:val="21"/>
        </w:rPr>
        <w:t>The EPC, LTSA and EMS Addendum are governed by Cyprus law. The OEM Direct Warranty Undertaking follows the manufacturer's standard warranty terms under PRC law, with disputes resolved at SHIAC in English — consistent with international BESS procurement practice.</w:t>
      </w:r>
    </w:p>
    <w:p/>
    <w:p>
      <w:pPr>
        <w:jc w:val="center"/>
      </w:pPr>
      <w:r>
        <w:rPr>
          <w:rFonts w:ascii="Calibri" w:hAnsi="Calibri"/>
          <w:b w:val="0"/>
          <w:i w:val="0"/>
          <w:color w:val="404040"/>
          <w:sz w:val="16"/>
        </w:rPr>
        <w:t>Lighthief Cyprus Ltd · HE 477423 · 28 October Ave 249, Lophitis Business Center 1, Office 201, 3035 Limassol, Cyprus · office@lighthief.com · +357 99 164 158 · solarfarms.cy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