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A365D"/>
          <w:sz w:val="26"/>
        </w:rPr>
        <w:t>EPC AGREEMENT — VERSION 1.0 (June 2026)</w:t>
      </w:r>
    </w:p>
    <w:p/>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t>Document Reference: LCY-EPC-AEO-2026</w:t>
        <w:br/>
        <w:t>Version: 1.0</w:t>
        <w:br/>
        <w:t>Date: June 2026</w:t>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T.P. Aeolian Dynamics Ltd, a company incorporated under the laws of the Republic of Cyprus, with registered office at Karaiskaki 13, 3032 Limassol, Cyprus, Company No. HE 168239 ("Client").</w:t>
      </w:r>
    </w:p>
    <w:p>
      <w:r>
        <w:rPr>
          <w:b w:val="0"/>
          <w:sz w:val="20"/>
        </w:rPr>
        <w:t>Contractor and Client are referred to individually as a “Party” and collectively as the “Parties.”</w:t>
      </w:r>
    </w:p>
    <w:p>
      <w:pPr>
        <w:spacing w:before="320"/>
      </w:pPr>
      <w:r>
        <w:rPr>
          <w:b/>
          <w:color w:val="1A365D"/>
          <w:sz w:val="24"/>
        </w:rPr>
        <w:t>1A. CONDITIONS PRECEDENT</w:t>
      </w:r>
    </w:p>
    <w:p>
      <w:r>
        <w:t>1A.1 The Client's Agia Anna wind farm is already grid-connected via the existing 22 kV line to PSEUDAS S/S. This Agreement is not conditional on new grid Connection Terms. The “Effective Date” is the date of signing.</w:t>
      </w:r>
    </w:p>
    <w:p>
      <w:r>
        <w:rPr>
          <w:b w:val="0"/>
          <w:sz w:val="20"/>
        </w:rPr>
        <w:t>1A.2 Companion Documents (condition precedent to the advance): the advance shall not become due until the Contractor has presented to the Client, each substantially in the form attached for review: (a) the OEM Direct Warranty Undertaking signed and sealed by the OEM; (b) the Advance Payment Guarantee (APG No. 1) issued by the OEM's bank naming the Client as beneficiary; and (c) the OEM 5% performance guarantee. If any is not presented in the agreed form within thirty (30) days of the Effective Date, either Party may terminate this Agreement by written notice without liability, and any advance received shall be refunded within thirty (30) days less reasonable and documented costs incurred.</w:t>
      </w:r>
    </w:p>
    <w:p>
      <w:r>
        <w:t>1A.3 The advance payment under Section 7.1(a) shall become due within seven (7) days of the Effective Date, subject to presentation of the companion documents (Section 1A.2).</w:t>
      </w:r>
    </w:p>
    <w:p>
      <w:pPr>
        <w:spacing w:after="100"/>
        <w:jc w:val="both"/>
      </w:pPr>
      <w:r>
        <w:rPr>
          <w:rFonts w:ascii="Calibri" w:hAnsi="Calibri"/>
          <w:b w:val="0"/>
          <w:i w:val="0"/>
          <w:sz w:val="21"/>
        </w:rPr>
        <w:t>1A.4 Pre-shipment payment: the ready-to-ship payment under Section 7.1(b) shall not become due until (a) the equipment has passed the Factory Acceptance Test (Section 8.6) witnessed by or on behalf of the Client, and (b) the Contractor has presented the pre-shipment Advance Payment Guarantee (APG No. 2) issued by the OEM's bank naming the Client as beneficiary. The Client never funds an equipment prepayment tranche without a guarantee in place for that tranche.</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after="100"/>
        <w:jc w:val="both"/>
      </w:pPr>
      <w:r>
        <w:rPr>
          <w:rFonts w:ascii="Calibri" w:hAnsi="Calibri"/>
          <w:b w:val="0"/>
          <w:i w:val="0"/>
          <w:sz w:val="21"/>
        </w:rPr>
        <w:t>2.4 The Project is a participant in the Θ.Α.ΛΕ.Ι.Α 2021–2027 Just Transition Fund grant scheme (the “Grant Scheme”). The BESS configuration under this Agreement (6.68 MW / 20.06 MWh at the point of connection) is designed to meet the tender specification of the Grant Scheme. The Client is solely responsible for all grant administration, compliance, reporting and grant-authority liaison; the Contractor's obligation is limited to supplying and commissioning the BESS in accordance with this Agreement and providing as-built technical documentation sufficient to support the Client's grant filings.</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"Component A — Equipment Supply Price" </w:t>
      </w:r>
      <w:r>
        <w:rPr>
          <w:sz w:val="20"/>
        </w:rPr>
        <w:t>means the portion of the Contract Price attributable to supply of BESS equipment CIF Limassol, as set out in Section 6.2.</w:t>
      </w:r>
    </w:p>
    <w:p>
      <w:r>
        <w:rPr>
          <w:b/>
          <w:sz w:val="20"/>
        </w:rPr>
        <w:t xml:space="preserve">"Component B — EPC Services Price" </w:t>
      </w:r>
      <w:r>
        <w:rPr>
          <w:sz w:val="20"/>
        </w:rPr>
        <w:t>means the portion of the Contract Price attributable to EPC services, as set out in Section 6.3.</w:t>
      </w:r>
    </w:p>
    <w:p>
      <w:r>
        <w:rPr>
          <w:b/>
          <w:sz w:val="20"/>
        </w:rPr>
        <w:t xml:space="preserve">"Contract Price" </w:t>
      </w:r>
      <w:r>
        <w:rPr>
          <w:sz w:val="20"/>
        </w:rPr>
        <w:t>has the meaning given in Section 6.1.</w:t>
      </w:r>
    </w:p>
    <w:p>
      <w:r>
        <w:rPr>
          <w:b/>
          <w:sz w:val="20"/>
        </w:rPr>
        <w:t xml:space="preserve">"Defects Liability Period" </w:t>
      </w:r>
      <w:r>
        <w:rPr>
          <w:sz w:val="20"/>
        </w:rPr>
        <w:t>means the period of three (3) months commencing from the date of PAC, during which the Contractor shall remedy all defects notified by the Client.</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"EMS" means Energy Management System. EMS integration is provided by R&amp;D Innovations Sp. z o.o. (trading as DISPERON, under Lighthief International Ltd) under a separate EMS Integration Agreement, guaranteed by the Contractor per Section 4.4.</w:t>
      </w:r>
      <w:r>
        <w:rPr>
          <w:sz w:val="20"/>
        </w:rPr>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(a) the date of PAC; or (b) if PAC is delayed beyond six (6) months from equipment delivery to Site, the date six (6) months after delivery — but only where such delay is not caused by the Contractor. Where PAC is delayed by causes attributable to the Contractor, the Warranty Start Date shall be the actual date of PAC.</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 (Component A);</w:t>
      </w:r>
    </w:p>
    <w:p>
      <w:pPr>
        <w:ind w:left="567"/>
      </w:pPr>
      <w:r>
        <w:rPr>
          <w:sz w:val="20"/>
        </w:rPr>
        <w:t>(d) International logistics, import duties, customs clearance, and port-to-site transport (Component B);</w:t>
      </w:r>
    </w:p>
    <w:p>
      <w:pPr>
        <w:ind w:left="567"/>
      </w:pPr>
      <w:r>
        <w:rPr>
          <w:sz w:val="20"/>
        </w:rPr>
        <w:t>(e) Civil works: BESS equipment foundations and cable trenching within the BESS area (Component B). Site levelling / general earthworks, access roads, perimeter fencing and security systems are excluded (Client scope, per Schedule A);</w:t>
      </w:r>
    </w:p>
    <w:p>
      <w:pPr>
        <w:ind w:left="567"/>
      </w:pPr>
      <w:r>
        <w:rPr>
          <w:sz w:val="20"/>
        </w:rPr>
        <w:t>(f) AC/DC, MV and communications cabling, grounding and auxiliary electrical systems, and extension of the Client's existing 22 kV wind-farm switchgear by a new bay (bay J04, ABB ZX1.2-compatible MV cubicle) for the BESS connection (Component B);</w:t>
      </w:r>
    </w:p>
    <w:p>
      <w:pPr>
        <w:ind w:left="567"/>
      </w:pPr>
      <w:r>
        <w:rPr>
          <w:sz w:val="20"/>
        </w:rPr>
        <w:t>(g) Equipment installation, assembly, and commissioning by OEM-trained personnel under the Contractor’s coordination and responsibility (Component B);</w:t>
      </w:r>
    </w:p>
    <w:p>
      <w:pPr>
        <w:ind w:left="567"/>
      </w:pPr>
      <w:r>
        <w:rPr>
          <w:sz w:val="20"/>
        </w:rPr>
        <w:t>(h) SCADA integration and grid compliance coordination (Component B);</w:t>
      </w:r>
    </w:p>
    <w:p>
      <w:pPr>
        <w:ind w:left="567"/>
      </w:pPr>
      <w:r>
        <w:rPr>
          <w:sz w:val="20"/>
        </w:rPr>
        <w:t>(i) Authority liaison, EAC submissions, and regulatory compliance (Component B);</w:t>
      </w:r>
    </w:p>
    <w:p>
      <w:pPr>
        <w:ind w:left="567"/>
      </w:pPr>
      <w:r>
        <w:rPr>
          <w:sz w:val="20"/>
        </w:rPr>
        <w:t>(j) Project documentation, training, and handover (Component B).</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R&amp;D Innovations Sp. z o.o. (trading as DISPERON, under Lighthief International Ltd), an affiliate of the Contractor, under a separate EMS Integration Agreement.</w:t>
      </w:r>
    </w:p>
    <w:p>
      <w:r>
        <w:rPr>
          <w:b/>
          <w:sz w:val="20"/>
        </w:rPr>
        <w:t>(b) The Contractor hereby guarantees the performance of R&amp;D Innovations Sp. z o.o. (trading as DISPERON, under Lighthief International Ltd)’s obligations under the EMS Integration Agreement. If R&amp;D Innovations Sp. z o.o. (trading as DISPERON, under Lighthief International Ltd) fails to perform, the Contractor shall fulfil those obligations directly or procure equivalent performance at the Contractor’s cost.</w:t>
      </w:r>
    </w:p>
    <w:p>
      <w:r>
        <w:rPr>
          <w:b w:val="0"/>
          <w:sz w:val="20"/>
        </w:rPr>
        <w:t>(c) The Contractor warrants that the BESS is interface-compatible with the EMS at commissioning and that BMS-to-EMS communication protocols function correctly.</w:t>
      </w:r>
    </w:p>
    <w:p>
      <w:r>
        <w:rPr>
          <w:b w:val="0"/>
          <w:sz w:val="20"/>
        </w:rPr>
        <w:t>(d) Advanced EMS features, analytics, optimisation algorithms, market participation logic, or software licences shall be contracted separately.</w:t>
      </w:r>
    </w:p>
    <w:p>
      <w:r>
        <w:rPr>
          <w:b w:val="0"/>
          <w:sz w:val="20"/>
        </w:rPr>
        <w:t>(e) The Contractor is not responsible for EMS optimisation outcomes or revenue generation beyond interface compatibility.</w:t>
      </w:r>
    </w:p>
    <w:p>
      <w:r>
        <w:rPr>
          <w:b w:val="0"/>
          <w:sz w:val="20"/>
        </w:rPr>
        <w:t>4.5 Any works not expressly listed are excluded unless agreed in writing.</w:t>
      </w:r>
    </w:p>
    <w:p>
      <w:pPr>
        <w:spacing w:after="100"/>
        <w:jc w:val="both"/>
      </w:pPr>
      <w:r>
        <w:rPr>
          <w:rFonts w:ascii="Calibri" w:hAnsi="Calibri"/>
          <w:b w:val="0"/>
          <w:i w:val="0"/>
          <w:sz w:val="21"/>
        </w:rPr>
        <w:t>4.6 Wind-Farm Hybrid Integration and Export Limit: the BESS is integrated with the Client's existing 10.8 MW wind farm (6 × Vestas V100-1.8 MW turbines) at the Agia Anna site. The configuration is 4 × 5.015 MWh battery containers (20.06 MWh) and a single T8 MV Skid — one container housing 8 × Kehua BCS1000K PCS (1.0 MW each) = 8 MW hardware, EMS-limited to 6.68 MW — providing 6.68 MW / 20.06 MWh (3-hour duration). The DISPERON EMS shall enforce the combined wind + BESS export limit on the 22 kV line to PSEUDAS S/S (confirmed overhead line capacity 14 MW) via an IEC 60870-5-104 interface with the existing ABB wind-farm controller, capping BESS export at 6.68 MW. Configuration of this export limit is a condition of PAC.</w:t>
      </w:r>
    </w:p>
    <w:p>
      <w:pPr>
        <w:spacing w:after="100"/>
        <w:jc w:val="both"/>
      </w:pPr>
      <w:r>
        <w:rPr>
          <w:rFonts w:ascii="Calibri" w:hAnsi="Calibri"/>
          <w:b w:val="0"/>
          <w:i w:val="0"/>
          <w:sz w:val="21"/>
        </w:rPr>
        <w:t>4.7 MV Switchgear Bay Extension: because the BESS connects into the Client's existing 22 kV wind-farm switchgear, the Contractor's scope includes the design, supply and installation of a new switchgear bay (bay J04, ABB ZX1.2-compatible MV cubicle) extending the existing switchboard, and the MV termination of the T8 MV Skid into that bay. The Client shall provide safe access to, and accurate as-built drawings and protection/selectivity data for, the existing switchgear; any latent defect in the existing switchboard not caused by the Contractor is outside the Contractor's scope.</w:t>
      </w:r>
    </w:p>
    <w:p>
      <w:pPr>
        <w:spacing w:after="100"/>
        <w:jc w:val="both"/>
      </w:pPr>
      <w:r>
        <w:rPr>
          <w:rFonts w:ascii="Calibri" w:hAnsi="Calibri"/>
          <w:b w:val="0"/>
          <w:i w:val="0"/>
          <w:sz w:val="21"/>
        </w:rPr>
        <w:t>4.8 Grid-Forming (VSG) and Black Start: the PCS supplied is hardware-capable of grid-forming (VSG) and black-start operation via firmware. Activation, the test point, and any OEM firmware licence fee shall be confirmed by amendment to the Technical Agreement following the technical review and confirmation of the applicable DSO grid-code requirement. Hardware is unaffected and the equipment price is unchanged.</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 If the Client fails to make any payment when due:</w:t>
      </w:r>
    </w:p>
    <w:p>
      <w:pPr>
        <w:ind w:left="850"/>
      </w:pPr>
      <w:r>
        <w:rPr>
          <w:sz w:val="20"/>
        </w:rPr>
        <w:t>(i) Interest at EU Directive 2011/7/EU rate (ECB + 8% pa, simple interest);</w:t>
      </w:r>
    </w:p>
    <w:p>
      <w:pPr>
        <w:ind w:left="850"/>
      </w:pPr>
      <w:r>
        <w:rPr>
          <w:sz w:val="20"/>
        </w:rPr>
        <w:t>(ii) Contractor may suspend works on seven (7) days’ notice;</w:t>
      </w:r>
    </w:p>
    <w:p>
      <w:pPr>
        <w:ind w:left="850"/>
      </w:pPr>
      <w:r>
        <w:rPr>
          <w:sz w:val="20"/>
        </w:rPr>
        <w:t>(iii) If overdue more than thirty (30) days, Contractor may terminate. Upon termination, the Contractor shall retain from payments received an amount equal to the value of works completed and materials delivered to Site, as agreed between the Parties within fourteen (14) days (or as determined by an independent quantity surveyor within thirty (30) days). Any excess payments received over such amount shall be refunded to the Client within thirty (30) days of determination.</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after="100"/>
        <w:jc w:val="both"/>
      </w:pPr>
      <w:r>
        <w:rPr>
          <w:rFonts w:ascii="Calibri" w:hAnsi="Calibri"/>
          <w:b w:val="0"/>
          <w:i w:val="0"/>
          <w:sz w:val="21"/>
        </w:rPr>
        <w:t>5A.5 Site Access — Army Firing Range: the Site is adjacent to an army firing range at Agia Anna. The Client is responsible for coordinating access windows with the Republic of Cyprus National Guard in advance of all installation and commissioning activities, and shall notify the Contractor of confirmed access windows at least ten (10) Business Days before each visit. Where access is refused or delayed by the military authority, the Target PAC Date extends day-for-day for the duration of the refusal and no Delay Liquidated Damages accrue for that period; the Contractor is not entitled to additional cost reimbursement beyond reasonable standby costs directly caused by such access delay.</w:t>
      </w:r>
    </w:p>
    <w:p>
      <w:pPr>
        <w:spacing w:before="320"/>
      </w:pPr>
      <w:r>
        <w:rPr>
          <w:b/>
          <w:color w:val="1A365D"/>
          <w:sz w:val="24"/>
        </w:rPr>
        <w:t>6. CONTRACT PRICE</w:t>
      </w:r>
    </w:p>
    <w:p>
      <w:r>
        <w:t>6.1 Contract Price: the Contract Price is a fixed lump sum (Component A + Component B, as set out in Schedule A), exclusive of VAT, confirmed at signing on the basis of the OEM's then-current quotation for the Project configuration. The Client's site is already grid-connected, so there is no grid connection-terms trigger and no price-adjustment mechanism: the Contract Price does not change with raw-material or exchange-rate movements. After signing, the Contract Price changes only by a written change order agreed by both Parties (for example, a Client-requested configuration change).</w:t>
      </w:r>
    </w:p>
    <w:p>
      <w:pPr>
        <w:spacing w:before="200"/>
      </w:pPr>
      <w:r>
        <w:t>6.2 Component A — Equipment Supply Price</w:t>
      </w:r>
    </w:p>
    <w:p>
      <w:r>
        <w:rPr>
          <w:b w:val="0"/>
          <w:sz w:val="20"/>
        </w:rPr>
        <w:t>EUR [●] (“Equipment Supply Price”), being the CIF Limassol value of BESS equipment supplied under this Agreement, comprising:</w:t>
      </w:r>
    </w:p>
    <w:p>
      <w:pPr>
        <w:ind w:left="567"/>
      </w:pPr>
      <w:r>
        <w:rPr>
          <w:sz w:val="20"/>
        </w:rPr>
        <w:t>(a) Battery containers and modules;</w:t>
      </w:r>
    </w:p>
    <w:p>
      <w:pPr>
        <w:ind w:left="567"/>
      </w:pPr>
      <w:r>
        <w:rPr>
          <w:sz w:val="20"/>
        </w:rPr>
        <w:t>(b) Power Conversion System (PCS);</w:t>
      </w:r>
    </w:p>
    <w:p>
      <w:pPr>
        <w:ind w:left="567"/>
      </w:pPr>
      <w:r>
        <w:rPr>
          <w:sz w:val="20"/>
        </w:rPr>
        <w:t>(c) Medium Voltage Skid and switchgear;</w:t>
      </w:r>
    </w:p>
    <w:p>
      <w:pPr>
        <w:ind w:left="567"/>
      </w:pPr>
      <w:r>
        <w:rPr>
          <w:sz w:val="20"/>
        </w:rPr>
        <w:t>(d) Main step-up transformer;</w:t>
      </w:r>
    </w:p>
    <w:p>
      <w:pPr>
        <w:ind w:left="567"/>
      </w:pPr>
      <w:r>
        <w:rPr>
          <w:sz w:val="20"/>
        </w:rPr>
        <w:t>(e) Battery Management System (BMS) and thermal management;</w:t>
      </w:r>
    </w:p>
    <w:p>
      <w:pPr>
        <w:ind w:left="567"/>
      </w:pPr>
      <w:r>
        <w:rPr>
          <w:sz w:val="20"/>
        </w:rPr>
        <w:t>(f) OEM-supplied cables, connectors, and ancillaries.</w:t>
      </w:r>
    </w:p>
    <w:p>
      <w:r>
        <w:rPr>
          <w:b w:val="0"/>
          <w:sz w:val="20"/>
        </w:rPr>
        <w:t>The Advance Payment Guarantee (APG) under Section 10.9 is secured against the Component A Equipment Supply Price only.</w:t>
      </w:r>
    </w:p>
    <w:p>
      <w:pPr>
        <w:spacing w:before="200"/>
      </w:pPr>
      <w:r>
        <w:t>6.3 Component B — EPC Services Price</w:t>
      </w:r>
    </w:p>
    <w:p>
      <w:r>
        <w:rPr>
          <w:b w:val="0"/>
          <w:sz w:val="20"/>
        </w:rPr>
        <w:t>EUR [●] (“EPC Services Price”), being the cost of EPC services under this Agreement, comprising:</w:t>
      </w:r>
    </w:p>
    <w:p>
      <w:pPr>
        <w:ind w:left="567"/>
      </w:pPr>
      <w:r>
        <w:rPr>
          <w:sz w:val="20"/>
        </w:rPr>
        <w:t>(a) International logistics, import duties, customs clearance, and port-to-site transport;</w:t>
      </w:r>
    </w:p>
    <w:p>
      <w:pPr>
        <w:ind w:left="567"/>
      </w:pPr>
      <w:r>
        <w:rPr>
          <w:sz w:val="20"/>
        </w:rPr>
        <w:t>(b) Civil works: BESS equipment foundations and cable trenching within the BESS area (site levelling, access roads, fencing and security excluded — Client scope);</w:t>
      </w:r>
    </w:p>
    <w:p>
      <w:pPr>
        <w:ind w:left="567"/>
      </w:pPr>
      <w:r>
        <w:rPr>
          <w:sz w:val="20"/>
        </w:rPr>
        <w:t>(c) AC/DC, MV and communications cabling, grounding, auxiliary electrical systems, and extension of the existing 22 kV switchgear (new bay J04, ABB ZX1.2) for BESS connection;</w:t>
      </w:r>
    </w:p>
    <w:p>
      <w:pPr>
        <w:ind w:left="567"/>
      </w:pPr>
      <w:r>
        <w:rPr>
          <w:sz w:val="20"/>
        </w:rPr>
        <w:t>(d) Installation coordination and commissioning support;</w:t>
      </w:r>
    </w:p>
    <w:p>
      <w:pPr>
        <w:ind w:left="567"/>
      </w:pPr>
      <w:r>
        <w:rPr>
          <w:sz w:val="20"/>
        </w:rPr>
        <w:t>(e) SCADA integration and grid compliance;</w:t>
      </w:r>
    </w:p>
    <w:p>
      <w:pPr>
        <w:ind w:left="567"/>
      </w:pPr>
      <w:r>
        <w:rPr>
          <w:sz w:val="20"/>
        </w:rPr>
        <w:t>(f) Authority liaison, EAC submissions, and project management;</w:t>
      </w:r>
    </w:p>
    <w:p>
      <w:pPr>
        <w:ind w:left="567"/>
      </w:pPr>
      <w:r>
        <w:rPr>
          <w:sz w:val="20"/>
        </w:rPr>
        <w:t>(g) Documentation and handover.</w:t>
      </w:r>
    </w:p>
    <w:p>
      <w:r>
        <w:rPr>
          <w:b w:val="0"/>
          <w:sz w:val="20"/>
        </w:rPr>
        <w:t>No APG is required against the Component B EPC Services Price, which is earned progressively against services performed.</w:t>
      </w:r>
    </w:p>
    <w:p>
      <w:r>
        <w:rPr>
          <w:b w:val="0"/>
          <w:sz w:val="20"/>
        </w:rPr>
        <w:t>6.4 The Contract Price is based on current technical, regulatory, customs, and tax conditions. Material changes in scope, regulations, or law occurring after the Effective Date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Payments shall be made by bank transfer as follows:</w:t>
      </w:r>
    </w:p>
    <w:p>
      <w:r>
        <w:rPr>
          <w:b w:val="0"/>
          <w:sz w:val="20"/>
        </w:rPr>
        <w:t>(a) 25% advance payment within seven (7) days of the payment trigger under Section 1A.3;</w:t>
      </w:r>
    </w:p>
    <w:p>
      <w:r>
        <w:rPr>
          <w:b w:val="0"/>
          <w:sz w:val="20"/>
        </w:rPr>
        <w:t>(b) 50% payment prior to shipment of BESS equipment, upon Contractor’s written confirmation of successful Factory Acceptance Testing (FAT) and photographic evidence of readiness;</w:t>
      </w:r>
    </w:p>
    <w:p>
      <w:r>
        <w:rPr>
          <w:b w:val="0"/>
          <w:sz w:val="20"/>
        </w:rPr>
        <w:t>(c) 20% payment upon arrival and unloading of the equipment at the Site;</w:t>
      </w:r>
    </w:p>
    <w:p>
      <w:r>
        <w:rPr>
          <w:b w:val="0"/>
          <w:sz w:val="20"/>
        </w:rPr>
        <w:t>(d) 5% System Acceptance Test (SAT) / commissioning payment on PAC. No separate cash retention applies under this Agreement (Section 7.4); defect rectification during the three (3) month Defects Liability Period is secured by the OEM 5% performance guarantee and the Direct Warranty Undertaking.</w:t>
      </w:r>
    </w:p>
    <w:p>
      <w:r>
        <w:rPr>
          <w:b w:val="0"/>
          <w:sz w:val="20"/>
        </w:rPr>
        <w:t>7.2 The Contract Price and all milestone amounts are stated exclusive of VAT. VAT at the applicable Cyprus rate (currently nineteen percent (19%)) shall be added to each invoice and paid by the Client, and is recoverable by the Client in accordance with applicable law.</w:t>
      </w:r>
    </w:p>
    <w:p>
      <w:r>
        <w:rPr>
          <w:b w:val="0"/>
          <w:sz w:val="20"/>
        </w:rPr>
        <w:t>7.3 Late payments: Contractor may suspend on seven (7) days’ notice. Interest per Section 5A.4(b)(i).</w:t>
      </w:r>
    </w:p>
    <w:p>
      <w:pPr>
        <w:spacing w:before="200"/>
      </w:pPr>
      <w:r>
        <w:rPr>
          <w:b/>
          <w:color w:val="1A365D"/>
          <w:sz w:val="21"/>
        </w:rPr>
        <w:t>7.4 No Cash Retention: this Agreement does not operate a cash retention. The final five percent (5%) is the System Acceptance Test / commissioning payment, due on PAC (Section 7.1(d)). Defect rectification during the three (3) month Defects Liability Period is secured by the OEM 5% performance guarantee, the OEM Direct Warranty Undertaking, and the Contractor's works warranty.</w:t>
      </w:r>
    </w:p>
    <w:p>
      <w:pPr>
        <w:spacing w:before="200"/>
      </w:pPr>
      <w:r>
        <w:rPr>
          <w:b/>
          <w:color w:val="1A365D"/>
          <w:sz w:val="21"/>
        </w:rPr>
        <w:t>7.5 TITLE AND RISK TRANSFER</w:t>
      </w:r>
    </w:p>
    <w:p>
      <w:r>
        <w:rPr>
          <w:b w:val="0"/>
          <w:sz w:val="20"/>
        </w:rPr>
        <w:t>(a) Risk passes to Client upon delivery to Site and unloading.</w:t>
      </w:r>
    </w:p>
    <w:p>
      <w:r>
        <w:rPr>
          <w:b/>
          <w:sz w:val="20"/>
        </w:rPr>
        <w:t>(b) Title (ownership) passes to the Client on the earlier of: (i) issuance of PAC and receipt of the SAT payment under Section 7.1(d); or (ii) twelve (12) months after delivery of the equipment to Site, so that title passes no later than the end of APG cover. Where title passes under (ii) before PAC, the Contractor retains a security interest in the Equipment for any unpaid balance until the SAT payment is made.</w:t>
      </w:r>
    </w:p>
    <w:p>
      <w:r>
        <w:rPr>
          <w:b w:val="0"/>
          <w:sz w:val="20"/>
        </w:rPr>
        <w:t>(c) Defects Liability: The Contractor undertakes to rectify all defects notified during the Defects Liability Period at its own cost.</w:t>
      </w:r>
    </w:p>
    <w:p>
      <w:r>
        <w:rPr>
          <w:b w:val="0"/>
          <w:sz w:val="20"/>
        </w:rPr>
        <w:t>(d) Lender Security: Upon title transfer, the Client may grant security interests, charges, or pledges over the Equipment to lenders without the Contractor’s consent.</w:t>
      </w:r>
    </w:p>
    <w:p>
      <w:r>
        <w:rPr>
          <w:b w:val="0"/>
          <w:sz w:val="20"/>
        </w:rPr>
        <w:t>(e) Early Title for Lenders: If the Client’s project finance lender requires title to pass at an earlier stage (such as at equipment delivery or FAT), the Parties shall negotiate an alternative security or title transfer arrangement in good faith, provided it does not materially increase the Contractor’s financial exposure.</w:t>
      </w:r>
    </w:p>
    <w:p>
      <w:pPr>
        <w:spacing w:before="320"/>
      </w:pPr>
      <w:r>
        <w:rPr>
          <w:b/>
          <w:color w:val="1A365D"/>
          <w:sz w:val="24"/>
        </w:rPr>
        <w:t>8. DELIVERY AND INSTALLATION</w:t>
      </w:r>
    </w:p>
    <w:p>
      <w:r>
        <w:rPr>
          <w:b w:val="0"/>
          <w:sz w:val="20"/>
        </w:rPr>
        <w:t>8.1 Equipment supply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t xml:space="preserve">(g) "LD Value" — Calculated separately by delay type:
  (i) Equipment Delivery Delay (delivery of equipment to Site delayed): Confirmed Component A Equipment Supply Price for Full Park; or Confirmed Component A Equipment Supply Price × Affected Capacity % for Partial Delay.
  (ii) EPC Commissioning Delay (PAC not achieved after equipment delivered to Site for reasons within the Contractor's reasonable control): Confirmed Component B EPC Services Price for Full Park; or Confirmed Component B EPC Services Price × Affected Capacity % for Partial Delay.
The combined Delay LDs across both categories shall not exceed the cap in Section 8.4.4.</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calendar day;</w:t>
      </w:r>
    </w:p>
    <w:p>
      <w:pPr>
        <w:ind w:left="850"/>
      </w:pPr>
      <w:r>
        <w:rPr>
          <w:sz w:val="20"/>
        </w:rPr>
        <w:t>(ii) Days 31–60: 0.15% per calendar day;</w:t>
      </w:r>
    </w:p>
    <w:p>
      <w:pPr>
        <w:ind w:left="850"/>
      </w:pPr>
      <w:r>
        <w:rPr>
          <w:sz w:val="20"/>
        </w:rPr>
        <w:t>(iii) Day 61+: 0.2% per calendar day.</w:t>
      </w:r>
    </w:p>
    <w:p>
      <w:r>
        <w:rPr>
          <w:b w:val="0"/>
          <w:sz w:val="20"/>
        </w:rPr>
        <w:t>(b) Full Park: LDs on entire Contract Price. Partial: LDs on proportional value only. Escalation: recalculates if Partial becomes Full. See Schedule B for worked examples.</w:t>
      </w:r>
    </w:p>
    <w:p>
      <w:pPr>
        <w:spacing w:before="200"/>
      </w:pPr>
      <w:r>
        <w:rPr>
          <w:b/>
          <w:color w:val="1A365D"/>
          <w:sz w:val="21"/>
        </w:rPr>
        <w:t>8.4.4 Cap</w:t>
      </w:r>
    </w:p>
    <w:p>
      <w:r>
        <w:rPr>
          <w:b w:val="0"/>
          <w:sz w:val="20"/>
        </w:rPr>
        <w:t>Maximum aggregate Delay LDs per Park shall not exceed ten percent (10%) of the Contract Price. This cap and the termination right in Section 8.4.5 are the primary remedies for delay and together provide adequate protection.</w:t>
      </w:r>
    </w:p>
    <w:p>
      <w:pPr>
        <w:spacing w:before="200"/>
      </w:pPr>
      <w:r>
        <w:rPr>
          <w:b/>
          <w:color w:val="1A365D"/>
          <w:sz w:val="21"/>
        </w:rPr>
        <w:t>8.4.5 Termination for Prolonged Delay</w:t>
      </w:r>
    </w:p>
    <w:p>
      <w:r>
        <w:rPr>
          <w:b w:val="0"/>
          <w:sz w:val="20"/>
        </w:rPr>
        <w:t>If PAC is not achieved within one hundred and eighty (180) days of the Target PAC Date, the Client may terminate this Agreement upon written notice. Upon such termination:</w:t>
      </w:r>
    </w:p>
    <w:p>
      <w:pPr>
        <w:ind w:left="567"/>
      </w:pPr>
      <w:r>
        <w:rPr>
          <w:sz w:val="20"/>
        </w:rPr>
        <w:t>(a) The Contractor shall retain from payments received an amount equal to the value of works completed and materials delivered to Site;</w:t>
      </w:r>
    </w:p>
    <w:p>
      <w:pPr>
        <w:ind w:left="567"/>
      </w:pPr>
      <w:r>
        <w:rPr>
          <w:sz w:val="20"/>
        </w:rPr>
        <w:t>(b) Valuation shall be agreed between the Parties within fourteen (14) days. If not agreed, an independent quantity surveyor shall determine the value within thirty (30) additional days, applying a pro-rata assessment of completed works against the project programme;</w:t>
      </w:r>
    </w:p>
    <w:p>
      <w:pPr>
        <w:ind w:left="567"/>
      </w:pPr>
      <w:r>
        <w:rPr>
          <w:sz w:val="20"/>
        </w:rPr>
        <w:t>(c) All amounts received in excess of the determined value shall be refunded to the Client within thirty (30) days of the valuation determination;</w:t>
      </w:r>
    </w:p>
    <w:p>
      <w:pPr>
        <w:ind w:left="567"/>
      </w:pPr>
      <w:r>
        <w:rPr>
          <w:sz w:val="20"/>
        </w:rPr>
        <w:t>(d) Deductions shall be limited to actual and documented costs of works completed and materials delivered, evidenced by delivery records and progress reports.</w:t>
      </w:r>
    </w:p>
    <w:p>
      <w:pPr>
        <w:spacing w:before="200"/>
      </w:pPr>
      <w:r>
        <w:t xml:space="preserve">8.4.6 Exclusions; (vii) Upstream Force Majeure declared by the OEM and notified to the Client per Section 8.4.7A.</w:t>
      </w:r>
    </w:p>
    <w:p>
      <w:r>
        <w:t xml:space="preserve">8.4.7A Upstream Force Majeure (OEM Flow-Through). Where the OEM has formally notified the Contractor in writing of a Force Majeure event under the upstream supply contract, and such event directly causes a delay in delivery of equipment to Site, the Contractor may declare the same event as Force Majeure under this Agreement, provided the Contractor gives written notice to the Client within seven (7) Business Days of receiving the OEM's notification, including a copy of the OEM's Force Majeure notice. The Target PAC Date shall extend for the same duration as the OEM's Force Majeure period. No Delay LDs shall accrue during the Upstream Force Majeure period.</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after="100"/>
        <w:jc w:val="both"/>
      </w:pPr>
      <w:r>
        <w:rPr>
          <w:rFonts w:ascii="Calibri" w:hAnsi="Calibri"/>
          <w:b w:val="0"/>
          <w:i w:val="0"/>
          <w:sz w:val="21"/>
        </w:rPr>
        <w:t>8.5 Delivery &amp; Shipping Schedule: manufacturing, shipping and delivery lead time is not fixed at signing and no time commitment is given at signing; production lead time is indicative only and may change. Upon order release (triggered by the advance under Section 7.1(a)), the Contractor shall issue a binding Delivery Schedule stating the confirmed manufacturing lead time, the shipping timeline and the Target PAC Date. All time-based obligations and Delay Liquidated Damages under Section 8.4 are calculated from that confirmed Delivery Schedule.</w:t>
      </w:r>
    </w:p>
    <w:p>
      <w:pPr>
        <w:spacing w:after="100"/>
        <w:jc w:val="both"/>
      </w:pPr>
      <w:r>
        <w:rPr>
          <w:rFonts w:ascii="Calibri" w:hAnsi="Calibri"/>
          <w:b w:val="0"/>
          <w:i w:val="0"/>
          <w:sz w:val="21"/>
        </w:rPr>
        <w:t>8.6 Factory Acceptance Test (FAT): before any equipment is despatched and before the ready-to-ship payment (Section 7.1(b)) is paid, the Client and/or its appointed third-party inspector may inspect and witness factory acceptance testing at the OEM's facility on ten (10) Business Days' notice. Where the FAT reveals defects or non-conformity, the OEM/Contractor shall remedy them at no additional cost before shipment, and the Client may re-inspect. The ready-to-ship payment is conditional on a passed FAT.</w:t>
      </w:r>
    </w:p>
    <w:p>
      <w:pPr>
        <w:spacing w:before="320"/>
      </w:pPr>
      <w:r>
        <w:rPr>
          <w:b/>
          <w:color w:val="1A365D"/>
          <w:sz w:val="24"/>
        </w:rPr>
        <w:t>9. ACCEPTANCE</w:t>
      </w:r>
    </w:p>
    <w:p>
      <w:pPr>
        <w:spacing w:before="200"/>
      </w:pPr>
      <w:r>
        <w:rPr>
          <w:b/>
          <w:color w:val="1A365D"/>
          <w:sz w:val="21"/>
        </w:rPr>
        <w:t>9.1 Provisional Acceptance (PAC)</w:t>
      </w:r>
    </w:p>
    <w:p>
      <w:r>
        <w:rPr>
          <w:b w:val="0"/>
          <w:sz w:val="20"/>
        </w:rPr>
        <w:t>PAC shall be issued when the following criteria are met:</w:t>
      </w:r>
    </w:p>
    <w:p>
      <w:pPr>
        <w:ind w:left="567"/>
      </w:pPr>
      <w:r>
        <w:rPr>
          <w:sz w:val="20"/>
        </w:rPr>
        <w:t>(a) The BESS operates at not less than 95% of rated energy capacity;</w:t>
      </w:r>
    </w:p>
    <w:p>
      <w:pPr>
        <w:ind w:left="567"/>
      </w:pPr>
      <w:r>
        <w:rPr>
          <w:sz w:val="20"/>
        </w:rPr>
        <w:t>(b) Round-Trip Efficiency is not less than 84% under site conditions. For the avoidance of doubt, 84% is the hard floor for PAC; this threshold already incorporates a field tolerance adjustment from the OEM reference RTE of 86.32% and no further deduction applies;</w:t>
      </w:r>
    </w:p>
    <w:p>
      <w:pPr>
        <w:ind w:left="567"/>
      </w:pPr>
      <w:r>
        <w:rPr>
          <w:sz w:val="20"/>
        </w:rPr>
        <w:t>(c) BMS/SCADA communications verified and operational;</w:t>
      </w:r>
    </w:p>
    <w:p>
      <w:pPr>
        <w:ind w:left="567"/>
      </w:pPr>
      <w:r>
        <w:rPr>
          <w:sz w:val="20"/>
        </w:rPr>
        <w:t>(d) All safety and protection systems functional and tested;</w:t>
      </w:r>
    </w:p>
    <w:p>
      <w:pPr>
        <w:ind w:left="567"/>
      </w:pPr>
      <w:r>
        <w:rPr>
          <w:sz w:val="20"/>
        </w:rPr>
        <w:t>(e) All mandatory commissioning tests per Schedule A passed.</w:t>
      </w:r>
    </w:p>
    <w:p>
      <w:pPr>
        <w:spacing w:before="200"/>
      </w:pPr>
      <w:r>
        <w:rPr>
          <w:b/>
          <w:color w:val="1A365D"/>
          <w:sz w:val="21"/>
        </w:rPr>
        <w:t>9.2 Defects Liability Period</w:t>
      </w:r>
    </w:p>
    <w:p>
      <w:r>
        <w:rPr>
          <w:b w:val="0"/>
          <w:sz w:val="20"/>
        </w:rPr>
        <w:t>Following PAC, the Defects Liability Period of three (3) months commences. During this period:</w:t>
      </w:r>
    </w:p>
    <w:p>
      <w:pPr>
        <w:ind w:left="567"/>
      </w:pPr>
      <w:r>
        <w:rPr>
          <w:sz w:val="20"/>
        </w:rPr>
        <w:t>(a) The Contractor shall remedy all defects notified by the Client promptly and at no cost;</w:t>
      </w:r>
    </w:p>
    <w:p>
      <w:pPr>
        <w:ind w:left="567"/>
      </w:pPr>
      <w:r>
        <w:rPr>
          <w:sz w:val="20"/>
        </w:rPr>
        <w:t>(b) Minor defects that do not materially affect system operation shall be recorded on a punch list and remedied within the Defects Liability Period;</w:t>
      </w:r>
    </w:p>
    <w:p>
      <w:pPr>
        <w:ind w:left="567"/>
      </w:pPr>
      <w:r>
        <w:rPr>
          <w:sz w:val="20"/>
        </w:rPr>
        <w:t>(c) The Defects Liability Period ends three (3) months after PAC; no cash retention is held (Section 7.4).</w:t>
      </w:r>
    </w:p>
    <w:p>
      <w:r>
        <w:rPr>
          <w:b w:val="0"/>
          <w:sz w:val="20"/>
        </w:rPr>
        <w:t>There is no Final Acceptance Certificate and no cash retention; the final five percent (5%) is the SAT / commissioning payment due on PAC (Section 7.1(d)).</w:t>
      </w:r>
    </w:p>
    <w:p>
      <w:pPr>
        <w:spacing w:after="100"/>
        <w:jc w:val="both"/>
      </w:pPr>
      <w:r>
        <w:rPr>
          <w:rFonts w:ascii="Calibri" w:hAnsi="Calibri"/>
          <w:b w:val="0"/>
          <w:i w:val="0"/>
          <w:sz w:val="21"/>
        </w:rPr>
        <w:t>9.3 Extended Rejection Window: the Client's right to inspect and to give notice of defect or non-conformity, and the associated repair/replace/refund remedy, extends to commissioning / PAC and is not limited to thirty (30) days after delivery. For non-conformity affecting ten percent (10%) or more of installed capacity discovered up to PAC, the Client may require repair or replacement, or reject the affected equipment and require refund of the corresponding price (recoverable, where unpaid, under the Advance Payment Guarantees per Section 10.9).</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system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 or negligence by the Client;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conditions void the battery warranty:</w:t>
      </w:r>
    </w:p>
    <w:p>
      <w:pPr>
        <w:ind w:left="567"/>
      </w:pPr>
      <w:r>
        <w:rPr>
          <w:sz w:val="20"/>
        </w:rPr>
        <w:t>(a) Cell voltage below 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below 5% for more than 7 consecutive days.</w:t>
      </w:r>
    </w:p>
    <w:p>
      <w:r>
        <w:rPr>
          <w:b/>
          <w:sz w:val="20"/>
        </w:rPr>
        <w:t>The above conditions shall NOT void the warranty where the low SOC or low voltage condition was caused by:</w:t>
      </w:r>
    </w:p>
    <w:p>
      <w:pPr>
        <w:ind w:left="850"/>
      </w:pPr>
      <w:r>
        <w:rPr>
          <w:sz w:val="20"/>
        </w:rPr>
        <w:t>(i) a grid fault, outage, or curtailment instruction from DSO;</w:t>
      </w:r>
    </w:p>
    <w:p>
      <w:pPr>
        <w:ind w:left="850"/>
      </w:pPr>
      <w:r>
        <w:rPr>
          <w:sz w:val="20"/>
        </w:rPr>
        <w:t>(ii) an EMS malfunction not attributable to the Client;</w:t>
      </w:r>
    </w:p>
    <w:p>
      <w:pPr>
        <w:ind w:left="850"/>
      </w:pPr>
      <w:r>
        <w:rPr>
          <w:sz w:val="20"/>
        </w:rPr>
        <w:t>(iii) any Force Majeure event; or</w:t>
      </w:r>
    </w:p>
    <w:p>
      <w:pPr>
        <w:ind w:left="850"/>
      </w:pPr>
      <w:r>
        <w:rPr>
          <w:sz w:val="20"/>
        </w:rPr>
        <w:t>(iv) failure by the Contractor to provide a monitoring alert under an LTSA with 24/7 monitoring (Tier A or above), where such alert would have enabled the Client to prevent the condition.</w:t>
      </w:r>
    </w:p>
    <w:p>
      <w:r>
        <w:rPr>
          <w:b w:val="0"/>
          <w:sz w:val="20"/>
        </w:rPr>
        <w:t>Where the Client has entered into an LTSA with 24/7 monitoring (Tier A+), the Contractor shall alert the Client within 24 hours of SOC dropping below 10%.</w:t>
      </w:r>
    </w:p>
    <w:p>
      <w:pPr>
        <w:spacing w:before="200"/>
      </w:pPr>
      <w:r>
        <w:rPr>
          <w:b/>
          <w:color w:val="1A365D"/>
          <w:sz w:val="21"/>
        </w:rPr>
        <w:t>10.6 Performance Guarantees</w:t>
      </w:r>
    </w:p>
    <w:p>
      <w:r>
        <w:rPr>
          <w:b w:val="0"/>
          <w:sz w:val="20"/>
        </w:rPr>
        <w:t>The Contractor guarantees (backed by OEM warranty):</w:t>
      </w:r>
    </w:p>
    <w:p>
      <w:r>
        <w:rPr>
          <w:b/>
          <w:sz w:val="20"/>
        </w:rPr>
        <w:t>(a) State of Health (SOH) at 1 cycle per day: Year 5 ≥85%, Year 10 ≥79.58%, Year 15 ≥70% (Year 15 subject to extended warranty under LTSA).</w:t>
      </w:r>
    </w:p>
    <w:p>
      <w:r>
        <w:rPr>
          <w:b/>
          <w:sz w:val="20"/>
        </w:rPr>
        <w:t>(b) Round-Trip Efficiency: ≥86.32% at 0.5C, 25±2°C. PAC field floor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product warranty is enforceable directly by the Client if the Contractor cannot fulfil obligations for any reason, including insolvency.</w:t>
      </w:r>
    </w:p>
    <w:p>
      <w:pPr>
        <w:spacing w:before="200"/>
      </w:pPr>
      <w:r>
        <w:rPr>
          <w:b/>
          <w:color w:val="1A365D"/>
          <w:sz w:val="21"/>
        </w:rPr>
        <w:t>10.9 Advance Payment Guarantee (APG) and Performance Bond</w:t>
      </w:r>
    </w:p>
    <w:p>
      <w:r>
        <w:rPr>
          <w:b/>
          <w:sz w:val="20"/>
        </w:rPr>
        <w:t>(a) The Contractor shall procure that the OEM provides an unconditional, irrevocable Advance Payment Guarantee (APG) equal to the sum of the advance payment and pre-shipment payment made under Sections 7.1(a) and 7.1(b) in respect of Component A (Equipment Supply Price) only.</w:t>
      </w:r>
    </w:p>
    <w:p>
      <w:r>
        <w:rPr>
          <w:b w:val="0"/>
          <w:sz w:val="20"/>
        </w:rPr>
        <w:t>(b) Two Advance Payment Guarantees are provided, each issued by the OEM's bank naming the Client as beneficiary: APG No. 1 securing the equipment advance (25% of the equipment supply value) and APG No. 2, issued at the Factory Acceptance Test, securing the ready-to-ship tranche (50% of the equipment supply value).</w:t>
      </w:r>
    </w:p>
    <w:p>
      <w:r>
        <w:rPr>
          <w:b w:val="0"/>
          <w:sz w:val="20"/>
        </w:rPr>
        <w:t>(c) The APG shall be delivered prior to the advance payment becoming due (condition precedent per Section 9B.4 of the upstream supply agreement).</w:t>
      </w:r>
    </w:p>
    <w:p>
      <w:r>
        <w:rPr>
          <w:b w:val="0"/>
          <w:sz w:val="20"/>
        </w:rPr>
        <w:t>(d) Each APG shall remain valid until the earlier of issuance of PAC or twelve (12) months after delivery of the equipment to Site; upon PAC the APGs are released.</w:t>
      </w:r>
    </w:p>
    <w:p>
      <w:r>
        <w:rPr>
          <w:b w:val="0"/>
          <w:sz w:val="20"/>
        </w:rPr>
        <w:t>(e) No APG is required against Component B (EPC Services Price).</w:t>
      </w:r>
    </w:p>
    <w:p>
      <w:r>
        <w:rPr>
          <w:b w:val="0"/>
          <w:sz w:val="20"/>
        </w:rPr>
        <w:t>(f) The Contractor shall also procure that the OEM provides a performance bond equal to five percent (5%) of the Component A Equipment Supply Price, valid until the end of the Defects Liability Period (three (3) months after PAC), covering defects in materials and workmanship.</w:t>
      </w:r>
    </w:p>
    <w:p>
      <w:pPr>
        <w:spacing w:after="100"/>
        <w:jc w:val="both"/>
      </w:pPr>
      <w:r>
        <w:rPr>
          <w:rFonts w:ascii="Calibri" w:hAnsi="Calibri"/>
          <w:b w:val="0"/>
          <w:i w:val="0"/>
          <w:sz w:val="21"/>
        </w:rPr>
        <w:t>(g) The OEM's bank issues the Advance Payment Guarantee(s) upon being provided with both this Agreement and the OEM supply contract, and issues them with the Client named as beneficiary from the outset. The Client may therefore demand directly under the APG(s) notwithstanding that payments are made to the Contractor: it is original issuance in the Client's name, not a transfer or assignment.</w:t>
      </w:r>
    </w:p>
    <w:p>
      <w:pPr>
        <w:spacing w:after="100"/>
        <w:jc w:val="both"/>
      </w:pPr>
      <w:r>
        <w:rPr>
          <w:rFonts w:ascii="Calibri" w:hAnsi="Calibri"/>
          <w:b w:val="0"/>
          <w:i w:val="0"/>
          <w:sz w:val="21"/>
        </w:rPr>
        <w:t>(h) Through to PAC the Client is protected, in combination, by: the two APGs (advance and pre-shipment refund, valid to the earlier of PAC or twelve (12) months after delivery); CAR / erection all-risks insurance for the full replacement value from port of discharge through installation to PAC (the sea voyage being covered by the OEM's CIF marine insurance); the OEM 5% performance guarantee to the end of the Defects Liability Period; and the OEM Direct Warranty Undertaking and 5-year product warranty.</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r>
        <w:rPr>
          <w:b w:val="0"/>
          <w:sz w:val="20"/>
        </w:rPr>
        <w:t>11.4 This Agreement is intended to be executed alongside the LTSA (LCY-LTSA-AEO-2026) and the OEM Direct Warranty Undertaking (LCY-OEM-DWU-001 v1.0). The Parties intend to execute all three documents simultaneously.</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Grid authority delays are addressed under Section 8.4.6.</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a Force Majeure event persists for more than six (6) months, either Party may terminate upon thirty (30) days’ written notice. In such event:</w:t>
      </w:r>
    </w:p>
    <w:p>
      <w:pPr>
        <w:ind w:left="567"/>
      </w:pPr>
      <w:r>
        <w:rPr>
          <w:sz w:val="20"/>
        </w:rPr>
        <w:t>(a) The Client shall pay the value of works completed and materials delivered as at the date of termination;</w:t>
      </w:r>
    </w:p>
    <w:p>
      <w:pPr>
        <w:ind w:left="567"/>
      </w:pPr>
      <w:r>
        <w:rPr>
          <w:sz w:val="20"/>
        </w:rPr>
        <w:t>(b) If payments received by the Contractor exceed the value of works completed and materials delivered, the Contractor shall refund the excess to the Client within thirty (30) days of termination;</w:t>
      </w:r>
    </w:p>
    <w:p>
      <w:pPr>
        <w:ind w:left="567"/>
      </w:pPr>
      <w:r>
        <w:rPr>
          <w:sz w:val="20"/>
        </w:rPr>
        <w:t>(c) Valuation shall follow the same process as Section 8.4.5(b).</w:t>
      </w:r>
    </w:p>
    <w:p>
      <w:pPr>
        <w:spacing w:before="320"/>
      </w:pPr>
      <w:r>
        <w:rPr>
          <w:b/>
          <w:color w:val="1A365D"/>
          <w:sz w:val="24"/>
        </w:rPr>
        <w:t>13. LIMITATION OF LIABILITY</w:t>
      </w:r>
    </w:p>
    <w:p>
      <w:r>
        <w:rPr>
          <w:b w:val="0"/>
          <w:sz w:val="20"/>
        </w:rPr>
        <w:t>13.1 Neither Party shall be liable for indirect or consequential damages, including loss of profits, loss of revenue, or loss of business.</w:t>
      </w:r>
    </w:p>
    <w:p>
      <w:r>
        <w:rPr>
          <w:b/>
          <w:sz w:val="20"/>
        </w:rPr>
        <w:t>13.2 The Contractor’s total aggregate liability under this Agreement shall be subject to the following tiers, each calculated as a percentage of the Contract Price:</w:t>
      </w:r>
    </w:p>
    <w:p>
      <w:pPr>
        <w:ind w:left="567"/>
      </w:pPr>
      <w:r>
        <w:rPr>
          <w:sz w:val="20"/>
        </w:rPr>
        <w:t>(a) Claims relating to the Contractor's own EPC services, installation and non-OEM works (excluding OEM equipment): ten percent (10%) of the Contract Price;</w:t>
      </w:r>
    </w:p>
    <w:p>
      <w:pPr>
        <w:ind w:left="567"/>
      </w:pPr>
      <w:r>
        <w:rPr>
          <w:sz w:val="20"/>
        </w:rPr>
        <w:t>(b) All other contractual breaches (excluding warranty, fraud, wilful misconduct, and manufacturing defects): fifty percent (50%) of the Contract Price;</w:t>
      </w:r>
    </w:p>
    <w:p>
      <w:pPr>
        <w:ind w:left="567"/>
      </w:pPr>
      <w:r>
        <w:rPr>
          <w:sz w:val="20"/>
        </w:rPr>
        <w:t>(c) Fraud, wilful misconduct, and manufacturing defects in OEM equipment: uncapped.</w:t>
      </w:r>
    </w:p>
    <w:p>
      <w:r>
        <w:rPr>
          <w:b w:val="0"/>
          <w:sz w:val="20"/>
        </w:rPr>
        <w:t>13.3 Carve-Outs (not subject to any cap):</w:t>
      </w:r>
    </w:p>
    <w:p>
      <w:pPr>
        <w:ind w:left="567"/>
      </w:pPr>
      <w:r>
        <w:rPr>
          <w:sz w:val="20"/>
        </w:rPr>
        <w:t>(a) Fraud or wilful misconduct;</w:t>
      </w:r>
    </w:p>
    <w:p>
      <w:pPr>
        <w:ind w:left="567"/>
      </w:pPr>
      <w:r>
        <w:rPr>
          <w:sz w:val="20"/>
        </w:rPr>
        <w:t>(b) Death or personal injury caused by negligence;</w:t>
      </w:r>
    </w:p>
    <w:p>
      <w:pPr>
        <w:ind w:left="567"/>
      </w:pPr>
      <w:r>
        <w:rPr>
          <w:sz w:val="20"/>
        </w:rPr>
        <w:t>(c) Client’s payment obligations;</w:t>
      </w:r>
    </w:p>
    <w:p>
      <w:pPr>
        <w:ind w:left="567"/>
      </w:pPr>
      <w:r>
        <w:rPr>
          <w:sz w:val="20"/>
        </w:rPr>
        <w:t>(d) Manufacturing defects in OEM equipment — Contractor pursues OEM recovery; OEM indemnification flows through to Client per §13A.1(e).</w:t>
      </w:r>
    </w:p>
    <w:p>
      <w:r>
        <w:rPr>
          <w:b w:val="0"/>
          <w:sz w:val="20"/>
        </w:rPr>
        <w:t>13.4 The tiered structure in Section 13.2 mirrors the upstream liability framework agreed with the OEM. For manufacturing defects specifically, the OEM bears full replacement cost including shipping under its supply agreement with the Contractor, with no cap applied.</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 and commissioning;</w:t>
      </w:r>
    </w:p>
    <w:p>
      <w:pPr>
        <w:ind w:left="567"/>
      </w:pPr>
      <w:r>
        <w:rPr>
          <w:sz w:val="20"/>
        </w:rPr>
        <w:t>(c) Breach of Contractor’s warranties;</w:t>
      </w:r>
    </w:p>
    <w:p>
      <w:pPr>
        <w:ind w:left="567"/>
      </w:pPr>
      <w:r>
        <w:rPr>
          <w:sz w:val="20"/>
        </w:rPr>
        <w:t>(d) Personal injury or property damage caused by Contractor or OEM personnel on-site;</w:t>
      </w:r>
    </w:p>
    <w:p>
      <w:pPr>
        <w:ind w:left="567"/>
      </w:pPr>
      <w:r>
        <w:rPr>
          <w:sz w:val="20"/>
        </w:rPr>
        <w:t>(e) Manufacturing defects in OEM equipment (recoverable from OEM under supply agreement).</w:t>
      </w:r>
    </w:p>
    <w:p>
      <w:pPr>
        <w:spacing w:before="200"/>
      </w:pPr>
      <w:r>
        <w:rPr>
          <w:b/>
          <w:color w:val="1A365D"/>
          <w:sz w:val="21"/>
        </w:rPr>
        <w:t>13A.2 Client Indemnity to Contractor</w:t>
      </w:r>
    </w:p>
    <w:p>
      <w:r>
        <w:rPr>
          <w:b w:val="0"/>
          <w:sz w:val="20"/>
        </w:rPr>
        <w:t>The Client indemnifies the Contractor against claims arising from:</w:t>
      </w:r>
    </w:p>
    <w:p>
      <w:pPr>
        <w:ind w:left="567"/>
      </w:pPr>
      <w:r>
        <w:rPr>
          <w:sz w:val="20"/>
        </w:rPr>
        <w:t>(a) Client’s material breach of this Agreement;</w:t>
      </w:r>
    </w:p>
    <w:p>
      <w:pPr>
        <w:ind w:left="567"/>
      </w:pPr>
      <w:r>
        <w:rPr>
          <w:sz w:val="20"/>
        </w:rPr>
        <w:t>(b) Client’s negligence or wilful acts;</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r>
        <w:rPr>
          <w:b/>
          <w:sz w:val="20"/>
        </w:rPr>
        <w:t>The Client’s indemnity obligations under this Section apply only to the extent that the relevant loss was caused or contributed to by the Client’s act or omission. Where fault is shared, the Client’s indemnity shall be reduced proportionally to reflect the Client’s degree of responsibility.</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v4.0 — anti-corruption, AML, environmental, H&amp;S, Cyprus energy regulations, EU directives.]</w:t>
      </w:r>
    </w:p>
    <w:p>
      <w:pPr>
        <w:spacing w:before="320"/>
      </w:pPr>
      <w:r>
        <w:rPr>
          <w:b/>
          <w:color w:val="1A365D"/>
          <w:sz w:val="24"/>
        </w:rPr>
        <w:t>18. DATA PROTECTION</w:t>
      </w:r>
    </w:p>
    <w:p>
      <w:r>
        <w:rPr>
          <w:b w:val="0"/>
          <w:sz w:val="20"/>
        </w:rPr>
        <w:t>[Sections 18.1–18.4 as per v4.0 — GDPR, data processing, security, breach notification.]</w:t>
      </w:r>
    </w:p>
    <w:p>
      <w:pPr>
        <w:spacing w:before="320"/>
      </w:pPr>
      <w:r>
        <w:rPr>
          <w:b/>
          <w:color w:val="1A365D"/>
          <w:sz w:val="24"/>
        </w:rPr>
        <w:t>19. REGULATORY COMPLIANCE</w:t>
      </w:r>
    </w:p>
    <w:p>
      <w:r>
        <w:rPr>
          <w:b w:val="0"/>
          <w:sz w:val="20"/>
        </w:rPr>
        <w:t>[Sections 19.1–19.11 as per v4.0 — Cyprus laws, building permit, site requirements, fire safety, environmental, certifications, grid connection, SCADA, electrical studies, DSO commissioning.]</w:t>
      </w:r>
    </w:p>
    <w:p>
      <w:r>
        <w:rPr>
          <w:b w:val="0"/>
          <w:sz w:val="20"/>
        </w:rPr>
        <w:t>19.11 Responsibilities:</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t xml:space="preserve">SCHEDULE A — TECHNICAL SPECIFICATIONS, COMMERCIAL DETAILS AND PRICE BASIS</w:t>
      </w:r>
    </w:p>
    <w:p>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pPr>
        <w:ind w:left="567"/>
      </w:pPr>
      <w:r>
        <w:t xml:space="preserve"/>
      </w:r>
    </w:p>
    <w:p>
      <w:r>
        <w:t xml:space="preserve"/>
      </w:r>
    </w:p>
    <w:p>
      <w:r>
        <w:t>Reference: LCY-EPC-AEO-2026 | Version: 1.0 | Date: June 2026</w:t>
      </w:r>
    </w:p>
    <w:p>
      <w:r>
        <w:t xml:space="preserve"/>
      </w:r>
    </w:p>
    <w:p>
      <w:r>
        <w:t xml:space="preserve">============================================================</w:t>
      </w:r>
    </w:p>
    <w:p>
      <w:r>
        <w:t xml:space="preserve">PART 1 — PARK DETAILS</w:t>
      </w:r>
    </w:p>
    <w:p>
      <w:r>
        <w:t xml:space="preserve">============================================================</w:t>
      </w:r>
    </w:p>
    <w:p>
      <w:r>
        <w:t xml:space="preserve"/>
      </w:r>
    </w:p>
    <w:p>
      <w:r>
        <w:t>Park Name:              Agia Anna BESS</w:t>
      </w:r>
    </w:p>
    <w:p>
      <w:r>
        <w:t>Site / District:        Larnaca District (Agia Anna), Cyprus</w:t>
      </w:r>
    </w:p>
    <w:p>
      <w:r>
        <w:t>BESS Capacity:          20.06 MWh / 6.68 MW (T8 MV Skid, 3-hour)</w:t>
      </w:r>
    </w:p>
    <w:p>
      <w:r>
        <w:t xml:space="preserve">Containers (BESS):      4 x Linyang Power Atlantic 5.015 MWh (20HC)</w:t>
      </w:r>
    </w:p>
    <w:p>
      <w:r>
        <w:t>MV Skid:                1 x T8 MV Skid (8 x BCS1000K = 8 MW hardware, EMS-limited to 6.68 MW; transformer per T8 datasheet)</w:t>
      </w:r>
    </w:p>
    <w:p>
      <w:r>
        <w:t>PCS:                    8 x Kehua BCS1000K-C-HUD (1.0 MW each, all in one T8 MV skid) = 8 MW hardware, EMS-limited to 6.68 MW</w:t>
      </w:r>
    </w:p>
    <w:p>
      <w:r>
        <w:t xml:space="preserve">Coastal Distance:       &gt;5 km (C5 enclosure — full 5-year warranty)</w:t>
      </w:r>
    </w:p>
    <w:p>
      <w:r>
        <w:t xml:space="preserve"/>
      </w:r>
    </w:p>
    <w:p>
      <w:r>
        <w:t xml:space="preserve">  Component A (Equipment CIF):    EUR [●]</w:t>
      </w:r>
    </w:p>
    <w:p>
      <w:r>
        <w:t xml:space="preserve">  Component B (EPC Services):     EUR [●]</w:t>
      </w:r>
    </w:p>
    <w:p>
      <w:r>
        <w:t xml:space="preserve">  CONTRACT PRICE (A+B, ex VAT):   EUR [●].00</w:t>
      </w:r>
    </w:p>
    <w:p>
      <w:r>
        <w:t xml:space="preserve"/>
      </w:r>
    </w:p>
    <w:p>
      <w:r>
        <w:t xml:space="preserve">  APG (25% + 50% of Component A, two APGs):        EUR [●]</w:t>
      </w:r>
    </w:p>
    <w:p>
      <w:r>
        <w:t xml:space="preserve">  Performance Guarantee (5% × Component A):       EUR [●]</w:t>
      </w:r>
    </w:p>
    <w:p>
      <w:r>
        <w:t xml:space="preserve">------------------------------------------------------------</w:t>
      </w:r>
    </w:p>
    <w:p>
      <w:r>
        <w:t xml:space="preserve">============================================================</w:t>
      </w:r>
    </w:p>
    <w:p>
      <w:r>
        <w:t xml:space="preserve">PART 2 — COMBINED CONTRACT SUMMARY</w:t>
      </w:r>
    </w:p>
    <w:p>
      <w:r>
        <w:t xml:space="preserve">============================================================</w:t>
      </w:r>
    </w:p>
    <w:p>
      <w:r>
        <w:t xml:space="preserve"/>
      </w:r>
    </w:p>
    <w:p>
      <w:r>
        <w:t>TOTAL CONTRACT PRICE (ex VAT):  EUR [●].00</w:t>
      </w:r>
    </w:p>
    <w:p>
      <w:r>
        <w:t xml:space="preserve"/>
      </w:r>
    </w:p>
    <w:p>
      <w:r>
        <w:t>PAYMENT MILESTONES (applied to the Contract Price):</w:t>
      </w:r>
    </w:p>
    <w:p>
      <w:r>
        <w:t xml:space="preserve">  Advance (25%):     EUR [●]  — Within 7 days of the Effective Date (§1A.3)</w:t>
      </w:r>
    </w:p>
    <w:p>
      <w:r>
        <w:t xml:space="preserve">  Ready-to-Ship (50%):    EUR [●]  — On FAT + Linyang written confirmation</w:t>
      </w:r>
    </w:p>
    <w:p>
      <w:r>
        <w:t xml:space="preserve">  On-Site Delivery (20%):         EUR [●]  — On arrival and unloading of equipment at Site</w:t>
      </w:r>
    </w:p>
    <w:p>
      <w:r>
        <w:t xml:space="preserve">  SAT / Commissioning (5%):    EUR [●]  — On PAC (system commissioned &amp; grid-connected)</w:t>
      </w:r>
    </w:p>
    <w:p>
      <w:r>
        <w:t xml:space="preserve">  TOTAL:             EUR [●].00</w:t>
      </w:r>
    </w:p>
    <w:p>
      <w:r>
        <w:t xml:space="preserve"/>
      </w:r>
    </w:p>
    <w:p>
      <w:r>
        <w:t xml:space="preserve">============================================================</w:t>
      </w:r>
    </w:p>
    <w:p>
      <w:r>
        <w:t xml:space="preserve">PART 3 — KEY DATES</w:t>
      </w:r>
    </w:p>
    <w:p>
      <w:r>
        <w:t xml:space="preserve">============================================================</w:t>
      </w:r>
    </w:p>
    <w:p>
      <w:r>
        <w:t xml:space="preserve"/>
      </w:r>
    </w:p>
    <w:p>
      <w:r>
        <w:t>Production Start:       confirmed in the Delivery Schedule at order release</w:t>
      </w:r>
    </w:p>
    <w:p>
      <w:r>
        <w:t>Factory Acceptance:     confirmed in the Delivery Schedule at order release</w:t>
      </w:r>
    </w:p>
    <w:p>
      <w:r>
        <w:t>CIF Limassol:           confirmed in the Delivery Schedule at order release</w:t>
      </w:r>
    </w:p>
    <w:p>
      <w:r>
        <w:t>Target PAC Date:        the date in the Delivery Schedule confirmed at order release</w:t>
      </w:r>
    </w:p>
    <w:p>
      <w:r>
        <w:t xml:space="preserve">Warranty Start:         On PAC</w:t>
      </w:r>
    </w:p>
    <w:p>
      <w:r>
        <w:t>Base Warranty End:      5 years from PAC</w:t>
      </w:r>
    </w:p>
    <w:p>
      <w:r>
        <w:t>DLP End:                3 months post-PAC</w:t>
      </w:r>
    </w:p>
    <w:p>
      <w:r>
        <w:t>Retention Release:      Not applicable — no cash retention (Section 7.4)</w:t>
      </w:r>
    </w:p>
    <w:p>
      <w:r>
        <w:t xml:space="preserve"/>
      </w:r>
    </w:p>
    <w:p>
      <w:r>
        <w:t xml:space="preserve">============================================================</w:t>
      </w:r>
    </w:p>
    <w:p>
      <w:r>
        <w:t>PART 4 — PRICE BASIS</w:t>
      </w:r>
    </w:p>
    <w:p>
      <w:r>
        <w:t xml:space="preserve">============================================================</w:t>
      </w:r>
    </w:p>
    <w:p>
      <w:r>
        <w:t xml:space="preserve"/>
      </w:r>
    </w:p>
    <w:p>
      <w:r>
        <w:t>Price Type:             Fixed lump sum (Component A + B, Schedule A), confirmed at signing</w:t>
      </w:r>
    </w:p>
    <w:p>
      <w:r>
        <w:t>OEM Quotation:          Linyang T8 quotation current at signing</w:t>
      </w:r>
    </w:p>
    <w:p>
      <w:r>
        <w:t>Confirmed Price Cert.:  Not applicable — no Connection-Terms price trigger</w:t>
      </w:r>
    </w:p>
    <w:p>
      <w:r>
        <w:t>Raw-material / FX adj.: Not applicable to this Agreement</w:t>
      </w:r>
    </w:p>
    <w:p>
      <w:r>
        <w:t xml:space="preserve"/>
      </w:r>
    </w:p>
    <w:p>
      <w:r>
        <w:t>Post-signing changes:   Only by written change order agreed by both Parties</w:t>
      </w:r>
    </w:p>
    <w:p>
      <w:r/>
    </w:p>
    <w:p>
      <w:r/>
    </w:p>
    <w:p>
      <w:r/>
    </w:p>
    <w:p>
      <w:r>
        <w:t xml:space="preserve"/>
      </w:r>
    </w:p>
    <w:p>
      <w:r/>
    </w:p>
    <w:p>
      <w:r/>
    </w:p>
    <w:p>
      <w:r>
        <w:t xml:space="preserve"/>
      </w:r>
    </w:p>
    <w:p>
      <w:r>
        <w:t xml:space="preserve">============================================================</w:t>
      </w:r>
    </w:p>
    <w:p>
      <w:r>
        <w:t xml:space="preserve">PART 5 — BESS TECHNICAL SPECIFICATION</w:t>
      </w:r>
    </w:p>
    <w:p>
      <w:r>
        <w:t xml:space="preserve">============================================================</w:t>
      </w:r>
    </w:p>
    <w:p>
      <w:r>
        <w:t xml:space="preserve"/>
      </w:r>
    </w:p>
    <w:p>
      <w:r>
        <w:t xml:space="preserve">BESS: Linyang Power Atlantic 5.015 MWh LFP (EVE LF314, 12P416S)</w:t>
      </w:r>
    </w:p>
    <w:p>
      <w:r>
        <w:t xml:space="preserve">  Thermal: liquid cooling 45 kW; IP54; C5 enclosure (Cyprus standard)</w:t>
      </w:r>
    </w:p>
    <w:p>
      <w:r>
        <w:t xml:space="preserve">  Fire: FK5112 perfluoroketone + water; BMS: Modbus TCP / IEC 60870-5-104</w:t>
      </w:r>
    </w:p>
    <w:p>
      <w:r>
        <w:t xml:space="preserve"/>
      </w:r>
    </w:p>
    <w:p>
      <w:r>
        <w:t>PCS: Kehua BCS1000K-C-HUD (1.0 MW); ≥98% efficiency; EN 50549-2 (TÜV D 115067 0077)</w:t>
      </w:r>
    </w:p>
    <w:p>
      <w:r>
        <w:t xml:space="preserve">Incoterms: CIF Limassol, Cyprus (Incoterms 2020); Port of Shipment: Shanghai</w:t>
      </w:r>
    </w:p>
    <w:p>
      <w:r>
        <w:t xml:space="preserve"/>
      </w:r>
    </w:p>
    <w:p>
      <w:r>
        <w:t xml:space="preserve">============================================================</w:t>
      </w:r>
    </w:p>
    <w:p>
      <w:r>
        <w:t xml:space="preserve">PART 6 — COMPANION DOCUMENTS (executed simultaneously)</w:t>
      </w:r>
    </w:p>
    <w:p>
      <w:r>
        <w:t xml:space="preserve">============================================================</w:t>
      </w:r>
    </w:p>
    <w:p>
      <w:r>
        <w:t xml:space="preserve"/>
      </w:r>
    </w:p>
    <w:p>
      <w:r>
        <w:t>1. LTSA v4.0 (Ref: LCY-LTSA-AEO-2026)</w:t>
      </w:r>
    </w:p>
    <w:p>
      <w:r>
        <w:t xml:space="preserve">2. OEM Direct Warranty Undertaking — Schedule C (LCY-OEM-DWU-001, one per park)</w:t>
      </w:r>
    </w:p>
    <w:p>
      <w:r>
        <w:t xml:space="preserve">   </w:t>
      </w:r>
    </w:p>
    <w:p>
      <w:r>
        <w:t xml:space="preserve">3. EMS Subscription Addendum — DISPERON (EUR 400/MWh/yr from PAC)</w:t>
      </w:r>
    </w:p>
    <w:p>
      <w:r>
        <w:t xml:space="preserve">4. APG from Linyang (CP: received before advance payment)</w:t>
      </w:r>
    </w:p>
    <w:p>
      <w:r>
        <w:t xml:space="preserve">5. Performance Bond from Linyang (5% Component A, valid to DLP end)</w:t>
      </w:r>
    </w:p>
    <w:p>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[Attached: OEM-Direct-Warranty-Undertaking-Linyang.docx — to be executed by Linyang, Lighthief Cyprus Ltd, and Client simultaneously with this Agreement.]</w:t>
      </w:r>
    </w:p>
    <w:p>
      <w:r>
        <w:rPr>
          <w:b w:val="0"/>
          <w:sz w:val="20"/>
        </w:rPr>
        <w:t>The OEM Direct Warranty Undertaking confirms:</w:t>
      </w:r>
    </w:p>
    <w:p>
      <w:pPr>
        <w:ind w:left="567"/>
      </w:pPr>
      <w:r>
        <w:rPr>
          <w:sz w:val="20"/>
        </w:rPr>
        <w:t>(a) Linyang’s 5-year product warranty applies to all equipment supplied for this Project through the Distributor;</w:t>
      </w:r>
    </w:p>
    <w:p>
      <w:pPr>
        <w:ind w:left="567"/>
      </w:pPr>
      <w:r>
        <w:rPr>
          <w:sz w:val="20"/>
        </w:rPr>
        <w:t>(b) The Client may enforce the warranty directly against Linyang if the Contractor cannot perform;</w:t>
      </w:r>
    </w:p>
    <w:p>
      <w:pPr>
        <w:ind w:left="567"/>
      </w:pPr>
      <w:r>
        <w:rPr>
          <w:sz w:val="20"/>
        </w:rPr>
        <w:t>(c) The undertaking survives termination of any agreement between Linyang and Lighthief;</w:t>
      </w:r>
    </w:p>
    <w:p>
      <w:pPr>
        <w:ind w:left="567"/>
      </w:pPr>
      <w:r>
        <w:rPr>
          <w:sz w:val="20"/>
        </w:rPr>
        <w:t>(d) Governing law: People's Republic of China (SHIAC arbitration, in English; Cyprus carve-out for interim relief), consistent with the OEM Direct Warranty Undertaking.</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T.P. Aeolian Dynamics Ltd (“Client”):</w:t>
      </w:r>
    </w:p>
    <w:p>
      <w:r>
        <w:rPr>
          <w:b w:val="0"/>
          <w:sz w:val="20"/>
        </w:rPr>
      </w:r>
    </w:p>
    <w:p>
      <w:r>
        <w:t>Name:   Sotiris Shiacallis</w:t>
      </w:r>
    </w:p>
    <w:p>
      <w:r>
        <w:t xml:space="preserve">Title:   Director</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