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18096"/>
          <w:sz w:val="17"/>
        </w:rPr>
        <w:t>Document Reference: LCY-LTSA-AEO-2026</w:t>
        <w:br/>
        <w:t>Version: 1.0</w:t>
        <w:br/>
        <w:t>Date: June 2026</w:t>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br w:type="page"/>
      </w:r>
    </w:p>
    <w:p>
      <w:pPr>
        <w:spacing w:before="320"/>
      </w:pPr>
      <w:r>
        <w:rPr>
          <w:b/>
          <w:color w:val="1A365D"/>
          <w:sz w:val="24"/>
        </w:rPr>
        <w:t>1. PARTIES</w:t>
      </w:r>
    </w:p>
    <w:p>
      <w:r>
        <w:rPr>
          <w:b w:val="0"/>
          <w:sz w:val="20"/>
        </w:rPr>
        <w:t>This Long-Term Service Agreement ("Agreement") is made as of [●] 2026 ("Effective Date")</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T.P. Aeolian Dynamics Ltd,</w:t>
      </w:r>
    </w:p>
    <w:p>
      <w:r>
        <w:rPr>
          <w:b w:val="0"/>
          <w:sz w:val="20"/>
        </w:rPr>
        <w:t>a company incorporated under the laws of the Republic of Cyprus, with registered office at Karaiskaki 13, 3032 Limassol, Cyprus, Company No. HE 168239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ten (10) days per calendar year.</w:t>
      </w:r>
    </w:p>
    <w:p>
      <w:r>
        <w:rPr>
          <w:b w:val="0"/>
          <w:sz w:val="20"/>
        </w:rPr>
        <w:t>"System Capacity"</w:t>
      </w:r>
    </w:p>
    <w:p>
      <w:r>
        <w:rPr>
          <w:b w:val="0"/>
          <w:sz w:val="20"/>
        </w:rPr>
        <w:t>means the total installed capacity of the BESS in MWh, as specified in Schedule 1.</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r>
        <w:rPr>
          <w:b w:val="0"/>
          <w:sz w:val="20"/>
        </w:rPr>
        <w:t>5.7 Data Retention</w:t>
      </w:r>
    </w:p>
    <w:p>
      <w:r>
        <w:rPr>
          <w:b w:val="0"/>
          <w:sz w:val="20"/>
        </w:rPr>
        <w:t>The Service Provider shall retain Performance Data for a minimum of five (5) years from the date of collection.</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6.7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6.8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(c) Total Scheduled Downtime shall not exceed ten (10) days per calendar year, distributed across preventive maintenance visits, OEM service windows, and system health checks.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sz w:val="20"/>
        </w:rPr>
        <w:t>6.5 Maintenance Records</w:t>
      </w:r>
    </w:p>
    <w:p>
      <w:r>
        <w:rPr>
          <w:b w:val="0"/>
          <w:sz w:val="20"/>
        </w:rPr>
        <w:t>The Service Provider shall maintain detailed records of all maintenance activities, findings, and recommendations, and shall provide copies to the Client upon request.</w:t>
      </w:r>
    </w:p>
    <w:p>
      <w:r>
        <w:rPr>
          <w:b w:val="0"/>
          <w:sz w:val="20"/>
        </w:rPr>
        <w:t>6.6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(a) The Service Fee may be adjusted annually on each anniversary of the Effective Date, by an amount not exceeding the Cyprus Consumer Price Index (CPI) increase for the preceding twelve (12) months, plus two percent (2%).</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r>
        <w:rPr>
          <w:b w:val="0"/>
          <w:sz w:val="20"/>
        </w:rPr>
        <w:t>7.5 Late Payment</w:t>
      </w:r>
    </w:p>
    <w:p>
      <w:r>
        <w:rPr>
          <w:b w:val="0"/>
          <w:sz w:val="20"/>
        </w:rPr>
        <w:t>Late payments shall bear interest at the rate prescribed by EU Directive 2011/7/EU (the European Central Bank main refinancing rate plus eight percent (8%)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r>
        <w:rPr>
          <w:b w:val="0"/>
          <w:sz w:val="20"/>
        </w:rPr>
        <w:t>8.2 Response Time Commitments</w:t>
      </w:r>
    </w:p>
    <w:p>
      <w:r>
        <w:rPr>
          <w:b w:val="0"/>
          <w:sz w:val="20"/>
        </w:rPr>
        <w:t>The Service Provider commits to the following Response Times:</w:t>
      </w:r>
    </w:p>
    <w:p>
      <w:r>
        <w:rPr>
          <w:b w:val="0"/>
          <w:sz w:val="20"/>
        </w:rPr>
        <w:t>(a) Critical Alerts: Initial remote response within four (4) hours; on-site attendance (if required) by the end of the next Business Day. For any safety risk the Service Provider shall apply immediate remote isolation or safe-shutdown.</w:t>
      </w:r>
    </w:p>
    <w:p>
      <w:r>
        <w:rPr>
          <w:b w:val="0"/>
          <w:sz w:val="20"/>
        </w:rPr>
        <w:t>(b) Major Alerts: Initial remote response within one (1) Business Day; on-site attendance (if required) within five (5) Business Days.</w:t>
      </w:r>
    </w:p>
    <w:p>
      <w:r>
        <w:rPr>
          <w:b w:val="0"/>
          <w:sz w:val="20"/>
        </w:rPr>
        <w:t>(c) Minor Alerts: Initial remote response within forty-eight (48)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by the next-Business-Day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(b) Auto-Escalation: If the primary duty technician does not acknowledge a Critical Alert within one (1) hour, the Monitoring Platform shall automatically escalate the alert to the backup technician and the operations manager simultaneously.</w:t>
      </w:r>
    </w:p>
    <w:p>
      <w:r>
        <w:rPr>
          <w:b w:val="0"/>
          <w:sz w:val="20"/>
        </w:rPr>
        <w:t>(c) Management Escalation: If on-site attendance has not been dispatched within four (4) hours of a Critical Alert, the operations manager shall escalate to the Service Provider's senior management and notify the Client's designated contact.</w:t>
      </w:r>
    </w:p>
    <w:p>
      <w:r>
        <w:rPr>
          <w:b w:val="0"/>
          <w:sz w:val="20"/>
        </w:rPr>
        <w:t>(d) Client Notification: The Client shall receive status updates at intervals of no more than two (2) hours from the time of a Critical Alert until the issue is resolved or the situation is stabilised.</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at the Site shall achieve a minimum annual Availability of ninety-seven percent (97%), calculated in accordance with Schedule 4.</w:t>
      </w:r>
    </w:p>
    <w:p>
      <w:r>
        <w:rPr>
          <w:b w:val="0"/>
          <w:sz w:val="20"/>
        </w:rPr>
        <w:t>9.2 Calculation of Availability</w:t>
      </w:r>
    </w:p>
    <w:p>
      <w:r>
        <w:rPr>
          <w:b w:val="0"/>
          <w:sz w:val="20"/>
        </w:rPr>
        <w:t>Availability shall be calculated for the BESS at the Site, as follows:</w:t>
      </w:r>
    </w:p>
    <w:p>
      <w:r>
        <w:rPr>
          <w:b w:val="0"/>
          <w:sz w:val="20"/>
        </w:rPr>
        <w:t>Availability (%) = [Available Hours / Total Hours] x 100</w:t>
      </w:r>
    </w:p>
    <w:p>
      <w:r>
        <w:rPr>
          <w:b w:val="0"/>
          <w:sz w:val="20"/>
        </w:rPr>
        <w:t>Where:</w:t>
      </w:r>
    </w:p>
    <w:p>
      <w:r>
        <w:rPr>
          <w:b w:val="0"/>
          <w:sz w:val="20"/>
        </w:rPr>
        <w:t>(a) Total Hours = 8,760 hours per year (or 8,784 in a leap year), commencing from the PAC date;</w:t>
      </w:r>
    </w:p>
    <w:p>
      <w:r>
        <w:rPr>
          <w:b w:val="0"/>
          <w:sz w:val="20"/>
        </w:rPr>
        <w:t>(b) Unavailable Hours = hours during which the BESS is unable to operate at its rated capacity due to equipment fault, failure, or Service Provider-caused downtime;</w:t>
      </w:r>
    </w:p>
    <w:p>
      <w:r>
        <w:rPr>
          <w:b w:val="0"/>
          <w:sz w:val="20"/>
        </w:rPr>
        <w:t>(c) The Availability Guarantee commences from the PAC date for the Site;</w:t>
      </w:r>
    </w:p>
    <w:p>
      <w:r>
        <w:rPr>
          <w:b w:val="0"/>
          <w:sz w:val="20"/>
        </w:rPr>
        <w:t>(d) For the partial year of commissioning, only the period from PAC to year-end is included in the calculation.</w:t>
      </w:r>
    </w:p>
    <w:p>
      <w:r>
        <w:rPr>
          <w:b w:val="0"/>
          <w:sz w:val="20"/>
        </w:rPr>
        <w:t>9.2A Availability Basis</w:t>
      </w:r>
    </w:p>
    <w:p>
      <w:r>
        <w:rPr>
          <w:b w:val="0"/>
          <w:sz w:val="20"/>
        </w:rPr>
        <w:t>The 97% Availability Guarantee applies to the BESS at the Site, measured annually in accordance with Schedule 4. An isolated component outage does not constitute a breach provided the annual Availability of the Site exceeds 97% after the excluded hours in Schedule 4.</w:t>
      </w:r>
    </w:p>
    <w:p>
      <w:r>
        <w:rPr>
          <w:b w:val="0"/>
          <w:sz w:val="20"/>
        </w:rPr>
        <w:t>9.3 Exclusions from Unavailable Hours</w:t>
      </w:r>
    </w:p>
    <w:p>
      <w:r>
        <w:rPr>
          <w:b w:val="0"/>
          <w:sz w:val="20"/>
        </w:rPr>
        <w:t>The following shall not count as Unavailable Hours:</w:t>
      </w:r>
    </w:p>
    <w:p>
      <w:r>
        <w:rPr>
          <w:b w:val="0"/>
          <w:sz w:val="20"/>
        </w:rPr>
        <w:t>(a) Scheduled Downtime for preventive maintenance (maximum 240 hours / 10 days per year);</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sz w:val="20"/>
        </w:rPr>
        <w:t>(e) Downtime caused by EMS or third-party system failures;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twenty percent (20%) of the annual Service Fee.</w:t>
      </w:r>
    </w:p>
    <w:p>
      <w:r>
        <w:rPr>
          <w:b w:val="0"/>
          <w:sz w:val="20"/>
        </w:rPr>
        <w:t>9.6 Sole Remedy</w:t>
      </w:r>
    </w:p>
    <w:p>
      <w:r>
        <w:rPr>
          <w:b w:val="0"/>
          <w:sz w:val="20"/>
        </w:rPr>
        <w:t>The Availability Liquidated Damages set out in this Section shall be the Client's sole and exclusive remedy for failure to achieve the Availability Guarantee, and the Client shall not be entitled to claim additional damages for unavailability beyond the Liquidated Damages.</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98% of original rated capacity;</w:t>
      </w:r>
    </w:p>
    <w:p>
      <w:r>
        <w:rPr>
          <w:b w:val="0"/>
          <w:sz w:val="20"/>
        </w:rPr>
        <w:t>(b) End of Year 2: 96% of original rated capacity;</w:t>
      </w:r>
    </w:p>
    <w:p>
      <w:r>
        <w:rPr>
          <w:b w:val="0"/>
          <w:sz w:val="20"/>
        </w:rPr>
        <w:t>(c) End of Year 3: 94% of original rated capacity;</w:t>
      </w:r>
    </w:p>
    <w:p>
      <w:r>
        <w:rPr>
          <w:b w:val="0"/>
          <w:sz w:val="20"/>
        </w:rPr>
        <w:t>(d) End of Year 4: 92% of original rated capacity;</w:t>
      </w:r>
    </w:p>
    <w:p>
      <w:r>
        <w:rPr>
          <w:b w:val="0"/>
          <w:sz w:val="20"/>
        </w:rPr>
        <w:t>(e) End of Year 5: 85% of original rated capacity;</w:t>
      </w:r>
    </w:p>
    <w:p>
      <w:r>
        <w:rPr>
          <w:b w:val="0"/>
          <w:sz w:val="20"/>
        </w:rPr>
        <w:t>(f) End of Year 10: 79.58% of original rated capacity;</w:t>
      </w:r>
    </w:p>
    <w:p>
      <w:r>
        <w:rPr>
          <w:b w:val="0"/>
          <w:sz w:val="20"/>
        </w:rPr>
        <w:t>(g) End of Year 15: 70%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5%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EUR [●] per kWh</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include, at minimum:</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and Professional Indemnity Insurance of minimum EUR 1,000,000 each.</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eight percent (8%)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Either Party may terminate this Agreement for convenience by providing one hundred eighty (180) days' written notice.</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twelve (12) months preceding the claim.</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Agia Anna Wind Farm Hybrid (BESS)</w:t>
      </w:r>
    </w:p>
    <w:p>
      <w:r>
        <w:rPr>
          <w:b w:val="0"/>
          <w:sz w:val="20"/>
        </w:rPr>
        <w:t>Site Address: Agia Anna, Larnaca, Cyprus</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5.015 MWh | 4 | [●] |</w:t>
      </w:r>
    </w:p>
    <w:p>
      <w:r>
        <w:rPr>
          <w:b w:val="0"/>
          <w:sz w:val="20"/>
        </w:rPr>
        <w:t>| Power Conversion System | Kehua BCS1000K (1.0 MW), 8 units in one T8 MV skid | 8 | [●] |</w:t>
      </w:r>
    </w:p>
    <w:p>
      <w:r>
        <w:rPr>
          <w:b w:val="0"/>
          <w:sz w:val="20"/>
        </w:rPr>
        <w:t>| Transformer | [●] MVA Transformer | [●] | [●] |</w:t>
      </w:r>
    </w:p>
    <w:p>
      <w:r>
        <w:rPr>
          <w:b w:val="0"/>
          <w:sz w:val="20"/>
        </w:rPr>
        <w:t>| EMS | DISPERON (R&amp;D Innovations Sp. z o.o.) | 1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7,000 cycles (25°C, 90% DOD, 0.5C) |</w:t>
      </w:r>
    </w:p>
    <w:p>
      <w:r>
        <w:rPr>
          <w:b w:val="0"/>
          <w:sz w:val="20"/>
        </w:rPr>
        <w:t>| Energy Density | 183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7,000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20.06 MWh</w:t>
      </w:r>
    </w:p>
    <w:p>
      <w:r>
        <w:rPr>
          <w:b w:val="0"/>
          <w:sz w:val="20"/>
        </w:rPr>
        <w:t>SELECTED SERVICE TIER: ☐ Tier A  ☐ Tier B  ☐ Tier C</w:t>
      </w:r>
    </w:p>
    <w:p>
      <w:r>
        <w:rPr>
          <w:b w:val="0"/>
          <w:sz w:val="20"/>
        </w:rPr>
        <w:t>───────────────────────────────────────────────────────────────</w:t>
      </w:r>
    </w:p>
    <w:p>
      <w:r>
        <w:rPr>
          <w:b w:val="0"/>
          <w:sz w:val="20"/>
        </w:rPr>
        <w:t>BASE SERVICE PRICING (Per MWh per Year)</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€1,157.62 | €[●] |</w:t>
      </w:r>
    </w:p>
    <w:p>
      <w:r>
        <w:rPr>
          <w:b w:val="0"/>
          <w:sz w:val="20"/>
        </w:rPr>
        <w:t>| (Includes remote monitoring + quarterly servicing) | | |</w:t>
      </w:r>
    </w:p>
    <w:p>
      <w:r>
        <w:rPr>
          <w:b w:val="0"/>
          <w:sz w:val="20"/>
        </w:rPr>
        <w:t>| | | |</w:t>
      </w:r>
    </w:p>
    <w:p>
      <w:r>
        <w:rPr>
          <w:b w:val="0"/>
          <w:sz w:val="20"/>
        </w:rPr>
        <w:t>| TIER B – Add Comprehensive O&amp;M | | |</w:t>
      </w:r>
    </w:p>
    <w:p>
      <w:r>
        <w:rPr>
          <w:b w:val="0"/>
          <w:sz w:val="20"/>
        </w:rPr>
        <w:t>| Preventive &amp; Corrective Maintenance – PCS + MVS | €1,311.97 | €[●] |</w:t>
      </w:r>
    </w:p>
    <w:p>
      <w:r>
        <w:rPr>
          <w:b w:val="0"/>
          <w:sz w:val="20"/>
        </w:rPr>
        <w:t>| (Includes remote monitoring + quarterly servicing) | | |</w:t>
      </w:r>
    </w:p>
    <w:p>
      <w:r>
        <w:rPr>
          <w:b w:val="0"/>
          <w:sz w:val="20"/>
        </w:rPr>
        <w:t>| | | |</w:t>
      </w:r>
    </w:p>
    <w:p>
      <w:r>
        <w:rPr>
          <w:b w:val="0"/>
          <w:sz w:val="20"/>
        </w:rPr>
        <w:t>| TIER C – Add Availability Guarantee | | |</w:t>
      </w:r>
    </w:p>
    <w:p>
      <w:r>
        <w:rPr>
          <w:b w:val="0"/>
          <w:sz w:val="20"/>
        </w:rPr>
        <w:t>| 97% Availability Guarantee (Years 1-15) | €2,201.73 | €[●]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 | ☐ |</w:t>
      </w:r>
    </w:p>
    <w:p>
      <w:r>
        <w:rPr>
          <w:b w:val="0"/>
          <w:sz w:val="20"/>
        </w:rPr>
        <w:t>| BESS Performance &amp; Product Warranty | 11-15 | €1,157.62 | ☐ |</w:t>
      </w:r>
    </w:p>
    <w:p>
      <w:r>
        <w:rPr>
          <w:b w:val="0"/>
          <w:sz w:val="20"/>
        </w:rPr>
        <w:t>| PCS + MVS Product Warranty | 6-10 | €747.76 | ☐ |</w:t>
      </w:r>
    </w:p>
    <w:p>
      <w:r>
        <w:rPr>
          <w:b w:val="0"/>
          <w:sz w:val="20"/>
        </w:rPr>
        <w:t>| PCS + MVS Product Warranty | 11-15 | €926.10 | ☐ |</w:t>
      </w:r>
    </w:p>
    <w:p>
      <w:r>
        <w:rPr>
          <w:b/>
          <w:sz w:val="20"/>
        </w:rPr>
        <w:t>Note: Extended warranty is available for a maximum of fifteen (15) years from COD (1 cycle per day condition). Years 16-20 warranty extension is not available from the OEM.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€400 / MWh / Year | €8,024 |</w:t>
      </w:r>
    </w:p>
    <w:p>
      <w:r>
        <w:rPr>
          <w:b w:val="0"/>
          <w:sz w:val="20"/>
        </w:rPr>
        <w:t>| (DISPERON software subscription — see EMS Subscription Addendum) | | |</w:t>
      </w:r>
    </w:p>
    <w:p>
      <w:r>
        <w:rPr>
          <w:b/>
          <w:sz w:val="20"/>
        </w:rPr>
        <w:t>For this Project the EMS/SCADA software subscription is EUR 400/MWh/Year (EUR 8,024 per year for 20.06 MWh), billed annually in advance from PAC, as set out in the EMS Subscription Addendum. Calculation basis: DISPERON software subscription (cloud platform, updates, external data feeds, cybersecurity/NIS2, support).</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20.06 MWh |</w:t>
      </w:r>
    </w:p>
    <w:p>
      <w:r>
        <w:rPr>
          <w:b w:val="0"/>
          <w:sz w:val="20"/>
        </w:rPr>
        <w:t>| EMS/SCADA Subscription Rate | €400 / MWh / Year |</w:t>
      </w:r>
    </w:p>
    <w:p>
      <w:r>
        <w:rPr>
          <w:b w:val="0"/>
          <w:sz w:val="20"/>
        </w:rPr>
        <w:t>| Annual EMS/SCADA Subscription | €8,024 |</w:t>
      </w:r>
    </w:p>
    <w:p>
      <w:r>
        <w:rPr>
          <w:b w:val="0"/>
          <w:sz w:val="20"/>
        </w:rPr>
        <w:t>| Billing | Annually in advance from PAC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(Selected Tier) | €[●] |</w:t>
      </w:r>
    </w:p>
    <w:p>
      <w:r>
        <w:rPr>
          <w:b w:val="0"/>
          <w:sz w:val="20"/>
        </w:rPr>
        <w:t>| Warranty Extension (if selected) | €[●] |</w:t>
      </w:r>
    </w:p>
    <w:p>
      <w:r>
        <w:rPr>
          <w:b w:val="0"/>
          <w:sz w:val="20"/>
        </w:rPr>
        <w:t>| EMS/SCADA Annual Subscription | €[●] |</w:t>
      </w:r>
    </w:p>
    <w:p>
      <w:r>
        <w:rPr>
          <w:b w:val="0"/>
          <w:sz w:val="20"/>
        </w:rPr>
        <w:t>| TOTAL ANNUAL FEE | €[●] |</w:t>
      </w:r>
    </w:p>
    <w:p>
      <w:r>
        <w:rPr>
          <w:b w:val="0"/>
          <w:sz w:val="20"/>
        </w:rPr>
        <w:t>| VAT (19%) | €[●] |</w:t>
      </w:r>
    </w:p>
    <w:p>
      <w:r>
        <w:rPr>
          <w:b w:val="0"/>
          <w:sz w:val="20"/>
        </w:rPr>
        <w:t>| TOTAL INCLUDING VAT | €[●]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QUARTERLY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 Rate: €30/day/MWh of unavailable capacity (per OEM confirmed rate)</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95% |</w:t>
      </w:r>
    </w:p>
    <w:p>
      <w:r>
        <w:rPr>
          <w:b w:val="0"/>
          <w:sz w:val="20"/>
        </w:rPr>
        <w:t>| 2 | 92% |</w:t>
      </w:r>
    </w:p>
    <w:p>
      <w:r>
        <w:rPr>
          <w:b w:val="0"/>
          <w:sz w:val="20"/>
        </w:rPr>
        <w:t>| 3 | 89% |</w:t>
      </w:r>
    </w:p>
    <w:p>
      <w:r>
        <w:rPr>
          <w:b w:val="0"/>
          <w:sz w:val="20"/>
        </w:rPr>
        <w:t>| 4 | 87% |</w:t>
      </w:r>
    </w:p>
    <w:p>
      <w:r>
        <w:rPr>
          <w:b w:val="0"/>
          <w:sz w:val="20"/>
        </w:rPr>
        <w:t>| 5 | 85% |</w:t>
      </w:r>
    </w:p>
    <w:p>
      <w:r>
        <w:rPr>
          <w:b w:val="0"/>
          <w:sz w:val="20"/>
        </w:rPr>
        <w:t>| 6 | 83% |</w:t>
      </w:r>
    </w:p>
    <w:p>
      <w:r>
        <w:rPr>
          <w:b w:val="0"/>
          <w:sz w:val="20"/>
        </w:rPr>
        <w:t>| 7 | 81% |</w:t>
      </w:r>
    </w:p>
    <w:p>
      <w:r>
        <w:rPr>
          <w:b w:val="0"/>
          <w:sz w:val="20"/>
        </w:rPr>
        <w:t>| 8 | 79% |</w:t>
      </w:r>
    </w:p>
    <w:p>
      <w:r>
        <w:rPr>
          <w:b w:val="0"/>
          <w:sz w:val="20"/>
        </w:rPr>
        <w:t>| 9 | 80% |</w:t>
      </w:r>
    </w:p>
    <w:p>
      <w:r>
        <w:rPr>
          <w:b w:val="0"/>
          <w:sz w:val="20"/>
        </w:rPr>
        <w:t>| 10 | 79.58% |</w:t>
      </w:r>
    </w:p>
    <w:p>
      <w:r>
        <w:rPr>
          <w:b w:val="0"/>
          <w:sz w:val="20"/>
        </w:rPr>
        <w:t>| 15 | 70%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5%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T.P. Aeolian Dynamics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Pr>
        <w:spacing w:before="200"/>
      </w:pPr>
      <w:r>
        <w:rPr>
          <w:b/>
          <w:color w:val="1A365D"/>
          <w:sz w:val="21"/>
        </w:rPr>
        <w:t>21.3A Assignment for Security</w:t>
      </w:r>
    </w:p>
    <w:p>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r>
        <w:rPr>
          <w:b w:val="0"/>
          <w:sz w:val="20"/>
        </w:rPr>
        <w:t>(b) Upon enforcement of such security, the Service Provider shall recognise the lender as the Client, provided payment obligations are assumed.</w:t>
      </w:r>
    </w:p>
    <w:p/>
    <w:p>
      <w:pPr>
        <w:spacing w:before="200"/>
      </w:pPr>
      <w:r>
        <w:rPr>
          <w:b/>
          <w:color w:val="1A365D"/>
          <w:sz w:val="21"/>
        </w:rPr>
        <w:t>COMPANION DOCUMENTS</w:t>
      </w:r>
    </w:p>
    <w:p>
      <w:r>
        <w:rPr>
          <w:b w:val="0"/>
          <w:sz w:val="20"/>
        </w:rPr>
        <w:t>This LTSA is intended to be executed alongside and read in conjunction with:</w:t>
      </w:r>
    </w:p>
    <w:p>
      <w:pPr>
        <w:ind w:left="567"/>
      </w:pPr>
      <w:r>
        <w:rPr>
          <w:sz w:val="20"/>
        </w:rPr>
        <w:t>(a) EPC Agreement (LCY-EPC-AEO-2026) between the same Parties;</w:t>
      </w:r>
    </w:p>
    <w:p>
      <w:pPr>
        <w:ind w:left="567"/>
      </w:pPr>
      <w:r>
        <w:rPr>
          <w:sz w:val="20"/>
        </w:rPr>
        <w:t>(b) OEM Direct Warranty Undertaking (LCY-OEM-DWU-001 v1.0) from Linyang Energy.</w:t>
      </w:r>
    </w:p>
    <w:p>
      <w:r>
        <w:rPr>
          <w:b w:val="0"/>
          <w:sz w:val="20"/>
        </w:rPr>
        <w:t>The Parties intend to execute all three documents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