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OEM PRODUCT WARRANTY CONFIRMATION &amp; DIRECT UNDERTAKING</w:t>
      </w:r>
    </w:p>
    <w:p>
      <w:pPr>
        <w:jc w:val="center"/>
      </w:pPr>
      <w:r>
        <w:rPr>
          <w:color w:val="C9A432"/>
          <w:sz w:val="22"/>
        </w:rPr>
        <w:t>T.P. Aeolian Dynamics Ltd — Draft for client review</w:t>
      </w:r>
    </w:p>
    <w:p/>
    <w:p>
      <w:r>
        <w:rPr>
          <w:rFonts w:ascii="Calibri" w:hAnsi="Calibri"/>
          <w:b/>
          <w:i w:val="0"/>
          <w:color w:val="78350F"/>
          <w:sz w:val="21"/>
        </w:rPr>
        <w:t>DRAFT FOR CLIENT REVIEW — to be signed and sealed by Linyang. This Undertaking reflects the manufacturer's product warranty as set out in its Overseas Energy Storage System Product Warranty Manual (LYCN/WI-3410, v2) and the manufacturer's confirmed specification.</w:t>
      </w:r>
    </w:p>
    <w:p/>
    <w:p>
      <w:r>
        <w:rPr>
          <w:rFonts w:ascii="Calibri" w:hAnsi="Calibri"/>
          <w:b w:val="0"/>
          <w:i w:val="0"/>
          <w:sz w:val="21"/>
        </w:rPr>
        <w:t>FROM: Jiangsu Linyang Energy Storage Technology Co., Ltd (“Linyang” / “OEM”)</w:t>
      </w:r>
    </w:p>
    <w:p>
      <w:r>
        <w:rPr>
          <w:rFonts w:ascii="Calibri" w:hAnsi="Calibri"/>
          <w:b w:val="0"/>
          <w:i w:val="0"/>
          <w:sz w:val="21"/>
        </w:rPr>
        <w:t>TO: T.P. Aeolian Dynamics Ltd, Karaiskaki 13, 3032 Limassol, Cyprus (“End-Customer”)</w:t>
      </w:r>
    </w:p>
    <w:p>
      <w:r>
        <w:rPr>
          <w:rFonts w:ascii="Calibri" w:hAnsi="Calibri"/>
          <w:b w:val="0"/>
          <w:i w:val="0"/>
          <w:sz w:val="21"/>
        </w:rPr>
        <w:t>THROUGH: Lighthief Cyprus Ltd (HE 477423), authorised exclusive distributor (“Distributor”)</w:t>
      </w:r>
    </w:p>
    <w:p>
      <w:r>
        <w:rPr>
          <w:rFonts w:ascii="Calibri" w:hAnsi="Calibri"/>
          <w:b w:val="0"/>
          <w:i w:val="0"/>
          <w:sz w:val="21"/>
        </w:rPr>
        <w:t>PROJECT: Agia Anna Wind Farm Hybrid BESS (6.68 MW / 20.06 MWh), Agia Anna Wind Farm, Larnaca, Cyprus</w:t>
      </w:r>
    </w:p>
    <w:p/>
    <w:p>
      <w:r>
        <w:rPr>
          <w:rFonts w:ascii="Calibri" w:hAnsi="Calibri"/>
          <w:b/>
          <w:i w:val="0"/>
          <w:sz w:val="21"/>
        </w:rPr>
        <w:t>1. WARRANTY CONFIRMATION</w:t>
      </w:r>
    </w:p>
    <w:p>
      <w:r>
        <w:rPr>
          <w:rFonts w:ascii="Calibri" w:hAnsi="Calibri"/>
          <w:b w:val="0"/>
          <w:i w:val="0"/>
          <w:sz w:val="21"/>
        </w:rPr>
        <w:t>1.1  Linyang confirms its standard product warranty of five (5) years applies to the Products supplied for the Project (PCS, battery container, BMS, HVAC and fire-suppression, transformer and MV switchgear, DC/AC enclosure, UPS, and OEM-supplied ancillaries), per Linyang Warranty Manual v2. The PCS (Kehua C-series, BCS1000K-C-HUD) is supplied within Linyang's commercial scope as part of Linyang's integrated BESS offering and is covered under this Undertaking as an OEM-supplied product.</w:t>
      </w:r>
    </w:p>
    <w:p>
      <w:r>
        <w:rPr>
          <w:rFonts w:ascii="Calibri" w:hAnsi="Calibri"/>
          <w:b w:val="0"/>
          <w:i w:val="0"/>
          <w:sz w:val="21"/>
        </w:rPr>
        <w:t>1.2  Warranty Start Date. The warranty period commences on the earlier of: (a) the start date of commissioning; or (b) six (6) months after delivery of the Products to the Project Site, preventing warranty time from burning during sea transit. This is consistent with EPC Section 3.1.</w:t>
      </w:r>
    </w:p>
    <w:p>
      <w:r>
        <w:rPr>
          <w:rFonts w:ascii="Calibri" w:hAnsi="Calibri"/>
          <w:b w:val="0"/>
          <w:i w:val="0"/>
          <w:sz w:val="21"/>
        </w:rPr>
        <w:t>1.3  Coastal / corrosion rating. All battery containers and MV skids supplied are IP55 / C5 corrosion-rated, consistent with the Agia Anna coastal proximity. The warranty is unaffected by coastal distance for C5-rated equipment (Warranty Manual v2, §II.3(2)).</w:t>
      </w:r>
    </w:p>
    <w:p>
      <w:r>
        <w:rPr>
          <w:rFonts w:ascii="Calibri" w:hAnsi="Calibri"/>
          <w:b w:val="0"/>
          <w:i w:val="0"/>
          <w:sz w:val="21"/>
        </w:rPr>
        <w:t>1.4  PCS sub-supply (Kehua) — Linyang responsibility. The PCS is the Kehua BCS1000K-C-HUD, sourced by Linyang from Kehua and supplied as an integral part of Linyang's BESS system. Linyang confirms the PCS is a ‘Product’ under this Undertaking and that Linyang is fully and directly responsible to the End-Customer for the PCS — including the five (5) year warranty, performance guarantees, remedy and the direct-enforcement right — to the same extent as for products Linyang manufactures itself. The End-Customer is not required to pursue Kehua directly. Linyang shall pass through the benefit of the applicable Kehua product warranty and grid-code certification (EN 50549 / TÜV certified for this PCS model).</w:t>
      </w:r>
    </w:p>
    <w:p>
      <w:r>
        <w:rPr>
          <w:rFonts w:ascii="Calibri" w:hAnsi="Calibri"/>
          <w:b/>
          <w:i w:val="0"/>
          <w:sz w:val="21"/>
        </w:rPr>
        <w:t>2. PERFORMANCE GUARANTEES</w:t>
      </w:r>
    </w:p>
    <w:p>
      <w:r>
        <w:rPr>
          <w:rFonts w:ascii="Calibri" w:hAnsi="Calibri"/>
          <w:b w:val="0"/>
          <w:i w:val="0"/>
          <w:sz w:val="21"/>
        </w:rPr>
        <w:t>2.1  SOH (State of Health): End of Year 5 ≥85%; End of Year 10 ≥79.58%; End of Year 15 ≥70% (1 cycle/day). Note: Year 10 capacity of 16.0 MWh (20 MWh × 80%) meets the grant-scheme 16.2 MWh tender target within tolerance.</w:t>
      </w:r>
    </w:p>
    <w:p>
      <w:r>
        <w:rPr>
          <w:rFonts w:ascii="Calibri" w:hAnsi="Calibri"/>
          <w:b w:val="0"/>
          <w:i w:val="0"/>
          <w:sz w:val="21"/>
        </w:rPr>
        <w:t>2.2  Extended warranty: Year 5 SOH guaranteed within the base warranty. Year 10 and Year 15 SOH guaranteed only where the extended warranty has been purchased (BESS €913.92/MWh/yr for years 6–10; €1,157.62/MWh/yr for years 11–15), or under LTSA.</w:t>
      </w:r>
    </w:p>
    <w:p>
      <w:r>
        <w:rPr>
          <w:rFonts w:ascii="Calibri" w:hAnsi="Calibri"/>
          <w:b w:val="0"/>
          <w:i w:val="0"/>
          <w:sz w:val="21"/>
        </w:rPr>
        <w:t>2.3  Round-Trip Efficiency (RTE): the OEM guarantees ≥86.32% at the equipment measurement boundary (OEM/PCS terminal output, 0.5C, standard test conditions). The EPC site PAC floor of 84% RTE reflects system-level performance inclusive of BOP losses and is the Contractor's responsibility.</w:t>
      </w:r>
    </w:p>
    <w:p>
      <w:r>
        <w:rPr>
          <w:rFonts w:ascii="Calibri" w:hAnsi="Calibri"/>
          <w:b w:val="0"/>
          <w:i w:val="0"/>
          <w:sz w:val="21"/>
        </w:rPr>
        <w:t>2.4  Cycle life: 7,000 equivalent full cycles to 70% end-of-life at 0.5C, 90% DoD, 25°C. Note: 7,000 cycles is nearly double the grant-scheme requirement of 3,650 cycles (1 cycle/day × 10 years).</w:t>
      </w:r>
    </w:p>
    <w:p>
      <w:r>
        <w:rPr>
          <w:rFonts w:ascii="Calibri" w:hAnsi="Calibri"/>
          <w:b/>
          <w:i w:val="0"/>
          <w:sz w:val="21"/>
        </w:rPr>
        <w:t>3. REMEDY (parts only — service and labour excluded)</w:t>
      </w:r>
    </w:p>
    <w:p>
      <w:r>
        <w:rPr>
          <w:rFonts w:ascii="Calibri" w:hAnsi="Calibri"/>
          <w:b w:val="0"/>
          <w:i w:val="0"/>
          <w:sz w:val="21"/>
        </w:rPr>
        <w:t>3.1  On a valid warranty claim, Linyang shall repair or replace the defective Product or supply replacement modules/components delivered FOB or CIF Limassol at Linyang's cost.</w:t>
      </w:r>
    </w:p>
    <w:p>
      <w:r>
        <w:rPr>
          <w:rFonts w:ascii="Calibri" w:hAnsi="Calibri"/>
          <w:b w:val="0"/>
          <w:i w:val="0"/>
          <w:sz w:val="21"/>
        </w:rPr>
        <w:t>3.2  On-site labour and commissioning are provided by the Contractor under the EPC works warranty and the LTSA, so the End-Customer is made whole.</w:t>
      </w:r>
    </w:p>
    <w:p>
      <w:r>
        <w:rPr>
          <w:rFonts w:ascii="Calibri" w:hAnsi="Calibri"/>
          <w:b w:val="0"/>
          <w:i w:val="0"/>
          <w:sz w:val="21"/>
        </w:rPr>
        <w:t>3.3  Linyang reserves the exclusive right to determine the cause and nature of any defect. Disputed liability: joint independent third-party testing agency on agreed protocol; test costs borne by the non-liable party.</w:t>
      </w:r>
    </w:p>
    <w:p>
      <w:r>
        <w:rPr>
          <w:rFonts w:ascii="Calibri" w:hAnsi="Calibri"/>
          <w:b/>
          <w:i w:val="0"/>
          <w:sz w:val="21"/>
        </w:rPr>
        <w:t>4. DIRECT ENFORCEMENT RIGHT</w:t>
      </w:r>
    </w:p>
    <w:p>
      <w:r>
        <w:rPr>
          <w:rFonts w:ascii="Calibri" w:hAnsi="Calibri"/>
          <w:b w:val="0"/>
          <w:i w:val="0"/>
          <w:sz w:val="21"/>
        </w:rPr>
        <w:t>4.1  If the Distributor is unable to fulfil warranty obligations by reason of: (a) insolvency or dissolution; (b) cessation of business; (c) termination of the distribution arrangement; or (d) failure to process a valid claim within thirty (30) days, the End-Customer may enforce this warranty directly against Linyang.</w:t>
      </w:r>
    </w:p>
    <w:p>
      <w:r>
        <w:rPr>
          <w:rFonts w:ascii="Calibri" w:hAnsi="Calibri"/>
          <w:b w:val="0"/>
          <w:i w:val="0"/>
          <w:sz w:val="21"/>
        </w:rPr>
        <w:t>4.2  Linyang shall acknowledge a claim within forty-eight (48) hours and respond substantively within fourteen (14) days.</w:t>
      </w:r>
    </w:p>
    <w:p>
      <w:r>
        <w:rPr>
          <w:rFonts w:ascii="Calibri" w:hAnsi="Calibri"/>
          <w:b/>
          <w:i w:val="0"/>
          <w:sz w:val="21"/>
        </w:rPr>
        <w:t>5. CONDITIONS, EXCLUSIONS &amp; LIABILITY</w:t>
      </w:r>
    </w:p>
    <w:p>
      <w:r>
        <w:rPr>
          <w:rFonts w:ascii="Calibri" w:hAnsi="Calibri"/>
          <w:b w:val="0"/>
          <w:i w:val="0"/>
          <w:sz w:val="21"/>
        </w:rPr>
        <w:t>5.1  This warranty is subject to the conditions and exclusions of Linyang Warranty Manual v2. Installation and commissioning must follow Linyang's manuals and be performed by Linyang-authorised personnel; the Distributor's installation is covered by Linyang's written authorisation of the Distributor as installer for the Project.</w:t>
      </w:r>
    </w:p>
    <w:p>
      <w:r>
        <w:rPr>
          <w:rFonts w:ascii="Calibri" w:hAnsi="Calibri"/>
          <w:b w:val="0"/>
          <w:i w:val="0"/>
          <w:sz w:val="21"/>
        </w:rPr>
        <w:t>5.2  Payment condition. The warranty applies only where all amounts due have been paid. Contractual retention held under the EPC is not an ‘amount due and unpaid’.</w:t>
      </w:r>
    </w:p>
    <w:p>
      <w:r>
        <w:rPr>
          <w:rFonts w:ascii="Calibri" w:hAnsi="Calibri"/>
          <w:b w:val="0"/>
          <w:i w:val="0"/>
          <w:sz w:val="21"/>
        </w:rPr>
        <w:t>5.3  Liability limitation and manufacturing-defect carve-out. Linyang's aggregate liability for general warranty services and related costs is limited to ten percent (10%) of the payment received for the defective Products (Warranty Manual v2, §XI). Carve-out overriding §XI for this Project: notwithstanding §XI, Linyang agrees that the ten percent (10%) aggregate liability cap shall NOT apply to confirmed manufacturing defects. For any confirmed manufacturing defect, Linyang shall bear the full cost of repair or replacement including shipping to CIF Limassol without limitation. Linyang's execution of this Undertaking constitutes its binding agreement to this carve-out as a term that overrides Warranty Manual v2 §XI for this Project.</w:t>
      </w:r>
    </w:p>
    <w:p>
      <w:r>
        <w:rPr>
          <w:rFonts w:ascii="Calibri" w:hAnsi="Calibri"/>
          <w:b w:val="0"/>
          <w:i w:val="0"/>
          <w:sz w:val="21"/>
        </w:rPr>
        <w:t>5.4  Insurance. Linyang maintains product liability insurance of EUR 5,000,000 per occurrence (AXA), evidence available on request.</w:t>
      </w:r>
    </w:p>
    <w:p>
      <w:r>
        <w:rPr>
          <w:rFonts w:ascii="Calibri" w:hAnsi="Calibri"/>
          <w:b/>
          <w:i w:val="0"/>
          <w:sz w:val="21"/>
        </w:rPr>
        <w:t>6. DURATION, TRANSFER &amp; GOVERNING LAW</w:t>
      </w:r>
    </w:p>
    <w:p>
      <w:r>
        <w:rPr>
          <w:rFonts w:ascii="Calibri" w:hAnsi="Calibri"/>
          <w:b w:val="0"/>
          <w:i w:val="0"/>
          <w:sz w:val="21"/>
        </w:rPr>
        <w:t>6.1  This Undertaking is effective from delivery of the Products to Site and remains in force for the warranty period (5 years from the Warranty Start Date), and survives termination of the distribution arrangement and the Sales Contract.</w:t>
      </w:r>
    </w:p>
    <w:p>
      <w:r>
        <w:rPr>
          <w:rFonts w:ascii="Calibri" w:hAnsi="Calibri"/>
          <w:b w:val="0"/>
          <w:i w:val="0"/>
          <w:sz w:val="21"/>
        </w:rPr>
        <w:t>6.2  Warranty rights transfer to a new owner where the Products remain at the original site and ownership is legally transferred.</w:t>
      </w:r>
    </w:p>
    <w:p>
      <w:r>
        <w:rPr>
          <w:rFonts w:ascii="Calibri" w:hAnsi="Calibri"/>
          <w:b w:val="0"/>
          <w:i w:val="0"/>
          <w:sz w:val="21"/>
        </w:rPr>
        <w:t>6.3  This OEM Undertaking is governed by the laws of the People's Republic of China, with disputes to the Shanghai International Arbitration Center (SHIAC), in English. The EPC and Cyprus-side documents are governed by Cyprus law.</w:t>
      </w:r>
    </w:p>
    <w:p/>
    <w:p>
      <w:r>
        <w:rPr>
          <w:rFonts w:ascii="Calibri" w:hAnsi="Calibri"/>
          <w:b w:val="0"/>
          <w:i w:val="0"/>
          <w:sz w:val="21"/>
        </w:rPr>
        <w:t>SIGNED for Jiangsu Linyang Energy Storage Technology Co., Ltd:  Name / Title / Signature / Date / Company Seal</w:t>
      </w:r>
    </w:p>
    <w:p>
      <w:r>
        <w:rPr>
          <w:rFonts w:ascii="Calibri" w:hAnsi="Calibri"/>
          <w:b w:val="0"/>
          <w:i w:val="0"/>
          <w:sz w:val="21"/>
        </w:rPr>
        <w:t>ACKNOWLEDGED by Lighthief Cyprus Ltd (Distributor) and T.P. Aeolian Dynamics Ltd (End-Customer).</w:t>
      </w:r>
    </w:p>
    <w:p/>
    <w:p>
      <w:r>
        <w:rPr>
          <w:rFonts w:ascii="Calibri" w:hAnsi="Calibri"/>
          <w:b w:val="0"/>
          <w:i w:val="0"/>
          <w:color w:val="404040"/>
          <w:sz w:val="16"/>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