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28"/>
        </w:rPr>
        <w:t>CORPORATE PERFORMANCE GUARANTEE</w:t>
      </w:r>
    </w:p>
    <w:p>
      <w:pPr>
        <w:jc w:val="center"/>
      </w:pPr>
      <w:r>
        <w:rPr>
          <w:color w:val="C9A432"/>
          <w:sz w:val="22"/>
        </w:rPr>
        <w:t>T.P. Aeolian Dynamics Ltd — Draft for client review</w:t>
      </w:r>
    </w:p>
    <w:p/>
    <w:p>
      <w:r>
        <w:rPr>
          <w:rFonts w:ascii="Calibri" w:hAnsi="Calibri"/>
          <w:b/>
          <w:i w:val="0"/>
          <w:color w:val="78350F"/>
          <w:sz w:val="21"/>
        </w:rPr>
        <w:t>DRAFT FOR CLIENT REVIEW — Not valid until signed and sealed by Linyang. This is a 5% corporate performance guarantee from the manufacturer — a direct corporate obligation, not a bank guarantee; the bank instruments are the separate Advance Payment Guarantees.</w:t>
      </w:r>
    </w:p>
    <w:p/>
    <w:p>
      <w:r>
        <w:rPr>
          <w:rFonts w:ascii="Calibri" w:hAnsi="Calibri"/>
          <w:b w:val="0"/>
          <w:i w:val="0"/>
          <w:sz w:val="21"/>
        </w:rPr>
        <w:t>Place and date:  [●]</w:t>
      </w:r>
    </w:p>
    <w:p>
      <w:r>
        <w:rPr>
          <w:rFonts w:ascii="Calibri" w:hAnsi="Calibri"/>
          <w:b w:val="0"/>
          <w:i w:val="0"/>
          <w:sz w:val="21"/>
        </w:rPr>
        <w:t>Reference No.:  [●]</w:t>
      </w:r>
    </w:p>
    <w:p>
      <w:r>
        <w:rPr>
          <w:rFonts w:ascii="Calibri" w:hAnsi="Calibri"/>
          <w:b w:val="0"/>
          <w:i w:val="0"/>
          <w:sz w:val="21"/>
        </w:rPr>
        <w:t>Beneficiary:  T.P. Aeolian Dynamics Ltd (HE 168239), Karaiskaki 13, 3032 Limassol, Cyprus, and/or its project-finance security agent (“Beneficiary”)</w:t>
      </w:r>
    </w:p>
    <w:p>
      <w:r>
        <w:rPr>
          <w:rFonts w:ascii="Calibri" w:hAnsi="Calibri"/>
          <w:b w:val="0"/>
          <w:i w:val="0"/>
          <w:sz w:val="21"/>
        </w:rPr>
        <w:t>Guarantor:  Jiangsu Linyang Energy Storage Technology Co., Ltd (“Guarantor” / “Linyang”)</w:t>
      </w:r>
    </w:p>
    <w:p/>
    <w:p>
      <w:r>
        <w:rPr>
          <w:rFonts w:ascii="Calibri" w:hAnsi="Calibri"/>
          <w:b/>
          <w:i w:val="0"/>
          <w:sz w:val="21"/>
        </w:rPr>
        <w:t>CORPORATE PERFORMANCE GUARANTEE</w:t>
      </w:r>
    </w:p>
    <w:p/>
    <w:p>
      <w:r>
        <w:rPr>
          <w:rFonts w:ascii="Calibri" w:hAnsi="Calibri"/>
          <w:b w:val="0"/>
          <w:i w:val="0"/>
          <w:sz w:val="21"/>
        </w:rPr>
        <w:t>(1)  Background. The Beneficiary and the Guarantor have entered into the Sales Contract for supply of BESS equipment for the Agia Anna Wind Farm Hybrid (6.68 MW / 20.06 MWh), Agia Anna Wind Farm, Larnaca, Cyprus. The Component A (equipment) price is approximately EUR [●].</w:t>
      </w:r>
    </w:p>
    <w:p>
      <w:r>
        <w:rPr>
          <w:rFonts w:ascii="Calibri" w:hAnsi="Calibri"/>
          <w:b w:val="0"/>
          <w:i w:val="0"/>
          <w:sz w:val="21"/>
        </w:rPr>
        <w:t>(2)  Guarantee amount. The Guarantor irrevocably undertakes to pay the Beneficiary any sum or sums not exceeding in the aggregate EUR [●] (five percent (5%) of the Component A equipment price) (“Guaranteed Amount”).</w:t>
      </w:r>
    </w:p>
    <w:p>
      <w:r>
        <w:rPr>
          <w:rFonts w:ascii="Calibri" w:hAnsi="Calibri"/>
          <w:b w:val="0"/>
          <w:i w:val="0"/>
          <w:sz w:val="21"/>
        </w:rPr>
        <w:t>(3)  Nature. A direct corporate obligation of the Guarantor — not a bank guarantee, letter of credit, or URDG 758 demand guarantee.</w:t>
      </w:r>
    </w:p>
    <w:p>
      <w:r>
        <w:rPr>
          <w:rFonts w:ascii="Calibri" w:hAnsi="Calibri"/>
          <w:b w:val="0"/>
          <w:i w:val="0"/>
          <w:sz w:val="21"/>
        </w:rPr>
        <w:t>(4)  Purpose. Security for the Guarantor's performance: (a) delivery of conforming equipment CIF Limassol; (b) defects in materials and workmanship during the Defects Liability Period; (c) related OEM obligations under the supply terms.</w:t>
      </w:r>
    </w:p>
    <w:p>
      <w:r>
        <w:rPr>
          <w:rFonts w:ascii="Calibri" w:hAnsi="Calibri"/>
          <w:b w:val="0"/>
          <w:i w:val="0"/>
          <w:sz w:val="21"/>
        </w:rPr>
        <w:t>(5)  Issuance. Delivered no later than one (1) month before first shipment, signed by an authorised officer with company seal.</w:t>
      </w:r>
    </w:p>
    <w:p>
      <w:r>
        <w:rPr>
          <w:rFonts w:ascii="Calibri" w:hAnsi="Calibri"/>
          <w:b w:val="0"/>
          <w:i w:val="0"/>
          <w:sz w:val="21"/>
        </w:rPr>
        <w:t>(6)  Validity. From execution until the end of the Defects Liability Period, being three (3) months after PAC. Actual dates set by the confirmed Delivery Schedule; no fixed calendar date applies at signing.</w:t>
      </w:r>
    </w:p>
    <w:p>
      <w:r>
        <w:rPr>
          <w:rFonts w:ascii="Calibri" w:hAnsi="Calibri"/>
          <w:b w:val="0"/>
          <w:i w:val="0"/>
          <w:sz w:val="21"/>
        </w:rPr>
        <w:t>(7)  Demand. The Beneficiary may demand after written notice of default and a thirty (30) day cure period (immediately on insolvency); payment within thirty (30) days.</w:t>
      </w:r>
    </w:p>
    <w:p>
      <w:r>
        <w:rPr>
          <w:rFonts w:ascii="Calibri" w:hAnsi="Calibri"/>
          <w:b w:val="0"/>
          <w:i w:val="0"/>
          <w:sz w:val="21"/>
        </w:rPr>
        <w:t>(8)  Backing. Supported by the Guarantor's warranty reserve and product liability insurance of EUR 5,000,000 per occurrence (AXA).</w:t>
      </w:r>
    </w:p>
    <w:p>
      <w:r>
        <w:rPr>
          <w:rFonts w:ascii="Calibri" w:hAnsi="Calibri"/>
          <w:b w:val="0"/>
          <w:i w:val="0"/>
          <w:sz w:val="21"/>
        </w:rPr>
        <w:t>(9)  Relationship to APG. Separate from, and additional to, the Advance Payment Guarantee. Failure to deliver this guarantee does not reduce the APG requirement.</w:t>
      </w:r>
    </w:p>
    <w:p>
      <w:r>
        <w:rPr>
          <w:rFonts w:ascii="Calibri" w:hAnsi="Calibri"/>
          <w:b w:val="0"/>
          <w:i w:val="0"/>
          <w:sz w:val="21"/>
        </w:rPr>
        <w:t>(10)  Assignment. Aeolian is a direct named Beneficiary. Aeolian may further assign this guarantee to a project-finance lender on written notice (effective immediately on the Distributor's insolvency or cessation of business).</w:t>
      </w:r>
    </w:p>
    <w:p>
      <w:r>
        <w:rPr>
          <w:rFonts w:ascii="Calibri" w:hAnsi="Calibri"/>
          <w:b w:val="0"/>
          <w:i w:val="0"/>
          <w:sz w:val="21"/>
        </w:rPr>
        <w:t>(11)  Governing law. Governed by the laws of the People's Republic of China, with disputes to SHIAC in English, consistent with the OEM Direct Warranty Undertaking.</w:t>
      </w:r>
    </w:p>
    <w:p/>
    <w:p>
      <w:r>
        <w:rPr>
          <w:rFonts w:ascii="Calibri" w:hAnsi="Calibri"/>
          <w:b w:val="0"/>
          <w:i w:val="0"/>
          <w:sz w:val="21"/>
        </w:rPr>
        <w:t>For and on behalf of Jiangsu Linyang Energy Storage Technology Co., Ltd</w:t>
      </w:r>
    </w:p>
    <w:p>
      <w:r>
        <w:rPr>
          <w:rFonts w:ascii="Calibri" w:hAnsi="Calibri"/>
          <w:b w:val="0"/>
          <w:i w:val="0"/>
          <w:sz w:val="21"/>
        </w:rPr>
        <w:t>Name / Title / Signature / Company seal / Date:  [●]</w:t>
      </w:r>
    </w:p>
    <w:p/>
    <w:p>
      <w:r>
        <w:rPr>
          <w:rFonts w:ascii="Calibri" w:hAnsi="Calibri"/>
          <w:b w:val="0"/>
          <w:i w:val="0"/>
          <w:color w:val="404040"/>
          <w:sz w:val="16"/>
        </w:rPr>
        <w:t>Lighthief Cyprus Ltd · HE 477423 · office@lighthief.com · +357 99 164 158 · solarfarms.cy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