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669"/>
        <w:gridCol w:w="3685"/>
      </w:tblGrid>
      <w:tr>
        <w:tc>
          <w:tcPr>
            <w:tcW w:type="dxa" w:w="4703"/>
            <w:shd w:val="clear" w:color="auto" w:fill="1A365D"/>
            <w:vAlign w:val="center"/>
          </w:tcPr>
          <w:p>
            <w:pPr>
              <w:spacing w:before="80" w:after="80"/>
              <w:jc w:val="left"/>
            </w:pPr>
            <w:r>
              <w:rPr>
                <w:rFonts w:ascii="Calibri" w:hAnsi="Calibri"/>
                <w:b/>
                <w:i w:val="0"/>
                <w:color w:val="FFFFFF"/>
                <w:sz w:val="40"/>
              </w:rPr>
              <w:t>Lighthief</w:t>
            </w:r>
            <w:r>
              <w:rPr>
                <w:rFonts w:ascii="Calibri" w:hAnsi="Calibri"/>
                <w:b w:val="0"/>
                <w:i w:val="0"/>
                <w:color w:val="FFFFFF"/>
                <w:sz w:val="20"/>
              </w:rPr>
              <w:t xml:space="preserve"> Cyprus Ltd</w:t>
            </w:r>
          </w:p>
        </w:tc>
        <w:tc>
          <w:tcPr>
            <w:tcW w:type="dxa" w:w="4703"/>
            <w:shd w:val="clear" w:color="auto" w:fill="1A365D"/>
            <w:vAlign w:val="center"/>
          </w:tcPr>
          <w:p>
            <w:pPr>
              <w:spacing w:before="80" w:after="80"/>
              <w:jc w:val="right"/>
            </w:pPr>
            <w:r>
              <w:rPr>
                <w:rFonts w:ascii="Calibri" w:hAnsi="Calibri"/>
                <w:color w:val="C9A432"/>
                <w:sz w:val="16"/>
              </w:rPr>
              <w:t>LETTER OF INTENT</w:t>
              <w:br/>
            </w:r>
            <w:r>
              <w:rPr>
                <w:rFonts w:ascii="Calibri" w:hAnsi="Calibri"/>
                <w:color w:val="FFFFFF"/>
                <w:sz w:val="16"/>
              </w:rPr>
              <w:t>LCY-LOI-ESP-PIPELINE-2026</w:t>
              <w:br/>
            </w:r>
            <w:r>
              <w:rPr>
                <w:rFonts w:ascii="Calibri" w:hAnsi="Calibri"/>
                <w:color w:val="FFFFFF"/>
                <w:sz w:val="16"/>
              </w:rPr>
              <w:t>April 2026</w:t>
              <w:br/>
            </w:r>
            <w:r>
              <w:rPr>
                <w:rFonts w:ascii="Calibri" w:hAnsi="Calibri"/>
                <w:color w:val="C9A432"/>
                <w:sz w:val="16"/>
              </w:rPr>
              <w:t>CONFIDENTIAL</w:t>
              <w:br/>
            </w:r>
          </w:p>
        </w:tc>
      </w:tr>
    </w:tbl>
    <w:p/>
    <w:p>
      <w:pPr>
        <w:spacing w:after="80"/>
        <w:jc w:val="left"/>
      </w:pPr>
      <w:r>
        <w:rPr>
          <w:rFonts w:ascii="Calibri" w:hAnsi="Calibri"/>
          <w:b/>
          <w:i w:val="0"/>
          <w:color w:val="1A365D"/>
          <w:sz w:val="32"/>
        </w:rPr>
        <w:t>Letter of Intent — Esperia Energy Remaining Pipeline</w:t>
      </w:r>
    </w:p>
    <w:p>
      <w:pPr>
        <w:spacing w:after="240"/>
      </w:pPr>
      <w:r>
        <w:rPr>
          <w:rFonts w:ascii="Calibri" w:hAnsi="Calibri"/>
          <w:b w:val="0"/>
          <w:i/>
          <w:color w:val="404040"/>
          <w:sz w:val="20"/>
        </w:rPr>
        <w:t>Post-Galascope EPC Signing — 9 Parks | 72.25 MW | 287.5 MWh</w:t>
      </w:r>
    </w:p>
    <w:p>
      <w:pPr>
        <w:spacing w:before="280" w:after="80"/>
      </w:pPr>
      <w:r>
        <w:rPr>
          <w:rFonts w:ascii="Calibri" w:hAnsi="Calibri"/>
          <w:b/>
          <w:color w:val="C9A432"/>
          <w:sz w:val="28"/>
        </w:rPr>
        <w:t>1.  Background</w:t>
      </w:r>
    </w:p>
    <w:p>
      <w:pPr>
        <w:spacing w:after="120"/>
      </w:pPr>
      <w:r>
        <w:rPr>
          <w:rFonts w:ascii="Calibri" w:hAnsi="Calibri"/>
          <w:b w:val="0"/>
          <w:i w:val="0"/>
          <w:color w:val="000000"/>
          <w:sz w:val="20"/>
        </w:rPr>
        <w:t>This Letter of Intent (“LOI”) is issued by Esperia Energy Group (“the Client”), represented by Dino Constantinou (Owner), in favour of Lighthief Cyprus Ltd. Concurrently with the execution of this LOI, the Client has signed a binding EPC Agreement for the Galascope portfolio (Galascope 1: 5.0 MW / 20 MWh and Galascope 2: 2.5 MW / 8 MWh, Famagusta). This LOI confirms the Client's commitment to the full Esperia Energy pipeline as set out below, comprising nine (9) further parks across Famagusta, Limassol, and Nicosia districts.</w:t>
      </w:r>
    </w:p>
    <w:tbl>
      <w:tblPr>
        <w:jc w:val="left"/>
        <w:tblLook w:firstColumn="1" w:firstRow="1" w:lastColumn="0" w:lastRow="0" w:noHBand="0" w:noVBand="1" w:val="04A0"/>
        <w:tblW w:w="7936" w:type="dxa"/>
        <w:tblLayout w:type="fixed"/>
      </w:tblPr>
      <w:tblGrid>
        <w:gridCol w:w="1984"/>
        <w:gridCol w:w="1984"/>
        <w:gridCol w:w="1984"/>
        <w:gridCol w:w="1984"/>
      </w:tblGrid>
      <w:tr>
        <w:tc>
          <w:tcPr>
            <w:shd w:val="clear" w:color="auto" w:fill="EBF0F7"/>
            <w:vAlign w:val="center"/>
            <w:tcW w:w="1984" w:type="dxa"/>
          </w:tcPr>
          <w:p>
            <w:pPr>
              <w:spacing w:before="120" w:after="120"/>
              <w:jc w:val="center"/>
            </w:pPr>
            <w:r>
              <w:rPr>
                <w:rFonts w:ascii="Calibri" w:hAnsi="Calibri"/>
                <w:b/>
                <w:i w:val="0"/>
                <w:color w:val="1A365D"/>
                <w:sz w:val="26"/>
              </w:rPr>
              <w:t>9</w:t>
              <w:br/>
            </w:r>
            <w:r>
              <w:rPr>
                <w:rFonts w:ascii="Calibri" w:hAnsi="Calibri"/>
                <w:b w:val="0"/>
                <w:i w:val="0"/>
                <w:color w:val="404040"/>
                <w:sz w:val="16"/>
              </w:rPr>
              <w:t>Parks in Pipeline</w:t>
            </w:r>
          </w:p>
        </w:tc>
        <w:tc>
          <w:tcPr>
            <w:shd w:val="clear" w:color="auto" w:fill="EBF0F7"/>
            <w:vAlign w:val="center"/>
            <w:tcW w:w="1984" w:type="dxa"/>
          </w:tcPr>
          <w:p>
            <w:pPr>
              <w:spacing w:before="120" w:after="120"/>
              <w:jc w:val="center"/>
            </w:pPr>
            <w:r>
              <w:rPr>
                <w:rFonts w:ascii="Calibri" w:hAnsi="Calibri"/>
                <w:b/>
                <w:i w:val="0"/>
                <w:color w:val="1A365D"/>
                <w:sz w:val="26"/>
              </w:rPr>
              <w:t>72.25 MW</w:t>
              <w:br/>
            </w:r>
            <w:r>
              <w:rPr>
                <w:rFonts w:ascii="Calibri" w:hAnsi="Calibri"/>
                <w:b w:val="0"/>
                <w:i w:val="0"/>
                <w:color w:val="404040"/>
                <w:sz w:val="16"/>
              </w:rPr>
              <w:t>Total BESS Power</w:t>
            </w:r>
          </w:p>
        </w:tc>
        <w:tc>
          <w:tcPr>
            <w:shd w:val="clear" w:color="auto" w:fill="EBF0F7"/>
            <w:vAlign w:val="center"/>
            <w:tcW w:w="1984" w:type="dxa"/>
          </w:tcPr>
          <w:p>
            <w:pPr>
              <w:spacing w:before="120" w:after="120"/>
              <w:jc w:val="center"/>
            </w:pPr>
            <w:r>
              <w:rPr>
                <w:rFonts w:ascii="Calibri" w:hAnsi="Calibri"/>
                <w:b/>
                <w:i w:val="0"/>
                <w:color w:val="1A365D"/>
                <w:sz w:val="26"/>
              </w:rPr>
              <w:t>287.5 MWh</w:t>
              <w:br/>
            </w:r>
            <w:r>
              <w:rPr>
                <w:rFonts w:ascii="Calibri" w:hAnsi="Calibri"/>
                <w:b w:val="0"/>
                <w:i w:val="0"/>
                <w:color w:val="404040"/>
                <w:sz w:val="16"/>
              </w:rPr>
              <w:t>Total BESS Energy</w:t>
            </w:r>
          </w:p>
        </w:tc>
        <w:tc>
          <w:tcPr>
            <w:shd w:val="clear" w:color="auto" w:fill="EBF0F7"/>
            <w:vAlign w:val="center"/>
            <w:tcW w:w="1984" w:type="dxa"/>
          </w:tcPr>
          <w:p>
            <w:pPr>
              <w:spacing w:before="120" w:after="120"/>
              <w:jc w:val="center"/>
            </w:pPr>
            <w:r>
              <w:rPr>
                <w:rFonts w:ascii="Calibri" w:hAnsi="Calibri"/>
                <w:b/>
                <w:i w:val="0"/>
                <w:color w:val="1A365D"/>
                <w:sz w:val="26"/>
              </w:rPr>
              <w:t>€30,043,928</w:t>
              <w:br/>
            </w:r>
            <w:r>
              <w:rPr>
                <w:rFonts w:ascii="Calibri" w:hAnsi="Calibri"/>
                <w:b w:val="0"/>
                <w:i w:val="0"/>
                <w:color w:val="404040"/>
                <w:sz w:val="16"/>
              </w:rPr>
              <w:t>Indicative Value</w:t>
            </w:r>
          </w:p>
        </w:tc>
      </w:tr>
    </w:tbl>
    <w:p/>
    <w:p>
      <w:pPr>
        <w:spacing w:before="280" w:after="80"/>
      </w:pPr>
      <w:r>
        <w:rPr>
          <w:rFonts w:ascii="Calibri" w:hAnsi="Calibri"/>
          <w:b/>
          <w:color w:val="C9A432"/>
          <w:sz w:val="28"/>
        </w:rPr>
        <w:t>2.  Committed Pipeline — All Parks</w:t>
      </w:r>
    </w:p>
    <w:p>
      <w:pPr>
        <w:spacing w:after="120"/>
      </w:pPr>
      <w:r>
        <w:rPr>
          <w:rFonts w:ascii="Calibri" w:hAnsi="Calibri"/>
          <w:b w:val="0"/>
          <w:i w:val="0"/>
          <w:color w:val="000000"/>
          <w:sz w:val="20"/>
        </w:rPr>
        <w:t>The Client confirms its intention to execute EPC Agreements for the following parks, phased as indicated below. All pricing is indicative and based on Quotation LY202511281 / prevailing Lighthief group-order pricing schedule (ex. VAT).</w:t>
      </w:r>
    </w:p>
    <w:tbl>
      <w:tblPr>
        <w:jc w:val="left"/>
        <w:tblLook w:firstColumn="1" w:firstRow="1" w:lastColumn="0" w:lastRow="0" w:noHBand="0" w:noVBand="1" w:val="04A0"/>
        <w:tblW w:w="7934" w:type="dxa"/>
        <w:tblLayout w:type="fixed"/>
      </w:tblPr>
      <w:tblGrid>
        <w:gridCol w:w="2948"/>
        <w:gridCol w:w="1020"/>
        <w:gridCol w:w="793"/>
        <w:gridCol w:w="793"/>
        <w:gridCol w:w="623"/>
        <w:gridCol w:w="1757"/>
      </w:tblGrid>
      <w:tr>
        <w:tc>
          <w:tcPr>
            <w:shd w:val="clear" w:color="auto" w:fill="1A365D"/>
            <w:vAlign w:val="center"/>
            <w:tcW w:w="2948" w:type="dxa"/>
          </w:tcPr>
          <w:p>
            <w:pPr>
              <w:jc w:val="center"/>
            </w:pPr>
            <w:r>
              <w:rPr>
                <w:rFonts w:ascii="Calibri" w:hAnsi="Calibri"/>
                <w:b/>
                <w:i w:val="0"/>
                <w:color w:val="FFFFFF"/>
                <w:sz w:val="18"/>
              </w:rPr>
              <w:t>Park / Project</w:t>
            </w:r>
          </w:p>
        </w:tc>
        <w:tc>
          <w:tcPr>
            <w:shd w:val="clear" w:color="auto" w:fill="1A365D"/>
            <w:vAlign w:val="center"/>
            <w:tcW w:w="1020" w:type="dxa"/>
          </w:tcPr>
          <w:p>
            <w:pPr>
              <w:jc w:val="center"/>
            </w:pPr>
            <w:r>
              <w:rPr>
                <w:rFonts w:ascii="Calibri" w:hAnsi="Calibri"/>
                <w:b/>
                <w:i w:val="0"/>
                <w:color w:val="FFFFFF"/>
                <w:sz w:val="18"/>
              </w:rPr>
              <w:t>District</w:t>
            </w:r>
          </w:p>
        </w:tc>
        <w:tc>
          <w:tcPr>
            <w:shd w:val="clear" w:color="auto" w:fill="1A365D"/>
            <w:vAlign w:val="center"/>
            <w:tcW w:w="793" w:type="dxa"/>
          </w:tcPr>
          <w:p>
            <w:pPr>
              <w:jc w:val="center"/>
            </w:pPr>
            <w:r>
              <w:rPr>
                <w:rFonts w:ascii="Calibri" w:hAnsi="Calibri"/>
                <w:b/>
                <w:i w:val="0"/>
                <w:color w:val="FFFFFF"/>
                <w:sz w:val="18"/>
              </w:rPr>
              <w:t>MW</w:t>
            </w:r>
          </w:p>
        </w:tc>
        <w:tc>
          <w:tcPr>
            <w:shd w:val="clear" w:color="auto" w:fill="1A365D"/>
            <w:vAlign w:val="center"/>
            <w:tcW w:w="793" w:type="dxa"/>
          </w:tcPr>
          <w:p>
            <w:pPr>
              <w:jc w:val="center"/>
            </w:pPr>
            <w:r>
              <w:rPr>
                <w:rFonts w:ascii="Calibri" w:hAnsi="Calibri"/>
                <w:b/>
                <w:i w:val="0"/>
                <w:color w:val="FFFFFF"/>
                <w:sz w:val="18"/>
              </w:rPr>
              <w:t>MWh</w:t>
            </w:r>
          </w:p>
        </w:tc>
        <w:tc>
          <w:tcPr>
            <w:shd w:val="clear" w:color="auto" w:fill="1A365D"/>
            <w:vAlign w:val="center"/>
            <w:tcW w:w="623" w:type="dxa"/>
          </w:tcPr>
          <w:p>
            <w:pPr>
              <w:jc w:val="center"/>
            </w:pPr>
            <w:r>
              <w:rPr>
                <w:rFonts w:ascii="Calibri" w:hAnsi="Calibri"/>
                <w:b/>
                <w:i w:val="0"/>
                <w:color w:val="FFFFFF"/>
                <w:sz w:val="18"/>
              </w:rPr>
              <w:t>Cont.</w:t>
            </w:r>
          </w:p>
        </w:tc>
        <w:tc>
          <w:tcPr>
            <w:shd w:val="clear" w:color="auto" w:fill="1A365D"/>
            <w:vAlign w:val="center"/>
            <w:tcW w:w="1757" w:type="dxa"/>
          </w:tcPr>
          <w:p>
            <w:pPr>
              <w:jc w:val="center"/>
            </w:pPr>
            <w:r>
              <w:rPr>
                <w:rFonts w:ascii="Calibri" w:hAnsi="Calibri"/>
                <w:b/>
                <w:i w:val="0"/>
                <w:color w:val="FFFFFF"/>
                <w:sz w:val="18"/>
              </w:rPr>
              <w:t>Indicative Price (ex. VAT)</w:t>
            </w:r>
          </w:p>
        </w:tc>
      </w:tr>
      <w:tr>
        <w:tc>
          <w:tcPr>
            <w:tcW w:w="2948" w:type="dxa"/>
          </w:tcPr>
          <w:p>
            <w:pPr>
              <w:jc w:val="left"/>
            </w:pPr>
            <w:r>
              <w:rPr>
                <w:rFonts w:ascii="Calibri" w:hAnsi="Calibri"/>
                <w:b w:val="0"/>
                <w:i w:val="0"/>
                <w:color w:val="000000"/>
                <w:sz w:val="18"/>
              </w:rPr>
              <w:t>Esperia Energy (Famagusta)</w:t>
            </w:r>
          </w:p>
        </w:tc>
        <w:tc>
          <w:tcPr>
            <w:tcW w:w="1020" w:type="dxa"/>
          </w:tcPr>
          <w:p>
            <w:pPr>
              <w:jc w:val="center"/>
            </w:pPr>
            <w:r>
              <w:rPr>
                <w:rFonts w:ascii="Calibri" w:hAnsi="Calibri"/>
                <w:b w:val="0"/>
                <w:i w:val="0"/>
                <w:color w:val="000000"/>
                <w:sz w:val="18"/>
              </w:rPr>
              <w:t>Famagusta</w:t>
            </w:r>
          </w:p>
        </w:tc>
        <w:tc>
          <w:tcPr>
            <w:tcW w:w="793" w:type="dxa"/>
          </w:tcPr>
          <w:p>
            <w:pPr>
              <w:jc w:val="right"/>
            </w:pPr>
            <w:r>
              <w:rPr>
                <w:rFonts w:ascii="Calibri" w:hAnsi="Calibri"/>
                <w:b w:val="0"/>
                <w:i w:val="0"/>
                <w:color w:val="000000"/>
                <w:sz w:val="18"/>
              </w:rPr>
              <w:t>6.50</w:t>
            </w:r>
          </w:p>
        </w:tc>
        <w:tc>
          <w:tcPr>
            <w:tcW w:w="793" w:type="dxa"/>
          </w:tcPr>
          <w:p>
            <w:pPr>
              <w:jc w:val="right"/>
            </w:pPr>
            <w:r>
              <w:rPr>
                <w:rFonts w:ascii="Calibri" w:hAnsi="Calibri"/>
                <w:b w:val="0"/>
                <w:i w:val="0"/>
                <w:color w:val="000000"/>
                <w:sz w:val="18"/>
              </w:rPr>
              <w:t>20.0</w:t>
            </w:r>
          </w:p>
        </w:tc>
        <w:tc>
          <w:tcPr>
            <w:tcW w:w="623" w:type="dxa"/>
          </w:tcPr>
          <w:p>
            <w:pPr>
              <w:jc w:val="right"/>
            </w:pPr>
            <w:r>
              <w:rPr>
                <w:rFonts w:ascii="Calibri" w:hAnsi="Calibri"/>
                <w:b w:val="0"/>
                <w:i w:val="0"/>
                <w:color w:val="000000"/>
                <w:sz w:val="18"/>
              </w:rPr>
              <w:t>4</w:t>
            </w:r>
          </w:p>
        </w:tc>
        <w:tc>
          <w:tcPr>
            <w:tcW w:w="1757" w:type="dxa"/>
          </w:tcPr>
          <w:p>
            <w:pPr>
              <w:jc w:val="right"/>
            </w:pPr>
            <w:r>
              <w:rPr>
                <w:rFonts w:ascii="Calibri" w:hAnsi="Calibri"/>
                <w:b w:val="0"/>
                <w:i w:val="0"/>
                <w:color w:val="000000"/>
                <w:sz w:val="18"/>
              </w:rPr>
              <w:t>€2,316,815</w:t>
            </w:r>
          </w:p>
        </w:tc>
      </w:tr>
      <w:tr>
        <w:tc>
          <w:tcPr>
            <w:tcW w:w="2948" w:type="dxa"/>
          </w:tcPr>
          <w:p>
            <w:pPr>
              <w:jc w:val="left"/>
            </w:pPr>
            <w:r>
              <w:rPr>
                <w:rFonts w:ascii="Calibri" w:hAnsi="Calibri"/>
                <w:b w:val="0"/>
                <w:i w:val="0"/>
                <w:color w:val="000000"/>
                <w:sz w:val="18"/>
              </w:rPr>
              <w:t>Esperia Green Energy (Limassol)</w:t>
            </w:r>
          </w:p>
        </w:tc>
        <w:tc>
          <w:tcPr>
            <w:tcW w:w="1020" w:type="dxa"/>
          </w:tcPr>
          <w:p>
            <w:pPr>
              <w:jc w:val="center"/>
            </w:pPr>
            <w:r>
              <w:rPr>
                <w:rFonts w:ascii="Calibri" w:hAnsi="Calibri"/>
                <w:b w:val="0"/>
                <w:i w:val="0"/>
                <w:color w:val="000000"/>
                <w:sz w:val="18"/>
              </w:rPr>
              <w:t>Limassol</w:t>
            </w:r>
          </w:p>
        </w:tc>
        <w:tc>
          <w:tcPr>
            <w:tcW w:w="793" w:type="dxa"/>
          </w:tcPr>
          <w:p>
            <w:pPr>
              <w:jc w:val="right"/>
            </w:pPr>
            <w:r>
              <w:rPr>
                <w:rFonts w:ascii="Calibri" w:hAnsi="Calibri"/>
                <w:b w:val="0"/>
                <w:i w:val="0"/>
                <w:color w:val="000000"/>
                <w:sz w:val="18"/>
              </w:rPr>
              <w:t>8.00</w:t>
            </w:r>
          </w:p>
        </w:tc>
        <w:tc>
          <w:tcPr>
            <w:tcW w:w="793" w:type="dxa"/>
          </w:tcPr>
          <w:p>
            <w:pPr>
              <w:jc w:val="right"/>
            </w:pPr>
            <w:r>
              <w:rPr>
                <w:rFonts w:ascii="Calibri" w:hAnsi="Calibri"/>
                <w:b w:val="0"/>
                <w:i w:val="0"/>
                <w:color w:val="000000"/>
                <w:sz w:val="18"/>
              </w:rPr>
              <w:t>60.0</w:t>
            </w:r>
          </w:p>
        </w:tc>
        <w:tc>
          <w:tcPr>
            <w:tcW w:w="623" w:type="dxa"/>
          </w:tcPr>
          <w:p>
            <w:pPr>
              <w:jc w:val="right"/>
            </w:pPr>
            <w:r>
              <w:rPr>
                <w:rFonts w:ascii="Calibri" w:hAnsi="Calibri"/>
                <w:b w:val="0"/>
                <w:i w:val="0"/>
                <w:color w:val="000000"/>
                <w:sz w:val="18"/>
              </w:rPr>
              <w:t>12</w:t>
            </w:r>
          </w:p>
        </w:tc>
        <w:tc>
          <w:tcPr>
            <w:tcW w:w="1757" w:type="dxa"/>
          </w:tcPr>
          <w:p>
            <w:pPr>
              <w:jc w:val="right"/>
            </w:pPr>
            <w:r>
              <w:rPr>
                <w:rFonts w:ascii="Calibri" w:hAnsi="Calibri"/>
                <w:b w:val="0"/>
                <w:i w:val="0"/>
                <w:color w:val="000000"/>
                <w:sz w:val="18"/>
              </w:rPr>
              <w:t>€5,644,044</w:t>
            </w:r>
          </w:p>
        </w:tc>
      </w:tr>
      <w:tr>
        <w:tc>
          <w:tcPr>
            <w:tcW w:w="2948" w:type="dxa"/>
          </w:tcPr>
          <w:p>
            <w:pPr>
              <w:jc w:val="left"/>
            </w:pPr>
            <w:r>
              <w:rPr>
                <w:rFonts w:ascii="Calibri" w:hAnsi="Calibri"/>
                <w:b w:val="0"/>
                <w:i w:val="0"/>
                <w:color w:val="000000"/>
                <w:sz w:val="18"/>
              </w:rPr>
              <w:t>Esperia Energy (Frenaros)</w:t>
            </w:r>
          </w:p>
        </w:tc>
        <w:tc>
          <w:tcPr>
            <w:tcW w:w="1020" w:type="dxa"/>
          </w:tcPr>
          <w:p>
            <w:pPr>
              <w:jc w:val="center"/>
            </w:pPr>
            <w:r>
              <w:rPr>
                <w:rFonts w:ascii="Calibri" w:hAnsi="Calibri"/>
                <w:b w:val="0"/>
                <w:i w:val="0"/>
                <w:color w:val="000000"/>
                <w:sz w:val="18"/>
              </w:rPr>
              <w:t>Famagusta</w:t>
            </w:r>
          </w:p>
        </w:tc>
        <w:tc>
          <w:tcPr>
            <w:tcW w:w="793" w:type="dxa"/>
          </w:tcPr>
          <w:p>
            <w:pPr>
              <w:jc w:val="right"/>
            </w:pPr>
            <w:r>
              <w:rPr>
                <w:rFonts w:ascii="Calibri" w:hAnsi="Calibri"/>
                <w:b w:val="0"/>
                <w:i w:val="0"/>
                <w:color w:val="000000"/>
                <w:sz w:val="18"/>
              </w:rPr>
              <w:t>25.00</w:t>
            </w:r>
          </w:p>
        </w:tc>
        <w:tc>
          <w:tcPr>
            <w:tcW w:w="793" w:type="dxa"/>
          </w:tcPr>
          <w:p>
            <w:pPr>
              <w:jc w:val="right"/>
            </w:pPr>
            <w:r>
              <w:rPr>
                <w:rFonts w:ascii="Calibri" w:hAnsi="Calibri"/>
                <w:b w:val="0"/>
                <w:i w:val="0"/>
                <w:color w:val="000000"/>
                <w:sz w:val="18"/>
              </w:rPr>
              <w:t>100.0</w:t>
            </w:r>
          </w:p>
        </w:tc>
        <w:tc>
          <w:tcPr>
            <w:tcW w:w="623" w:type="dxa"/>
          </w:tcPr>
          <w:p>
            <w:pPr>
              <w:jc w:val="right"/>
            </w:pPr>
            <w:r>
              <w:rPr>
                <w:rFonts w:ascii="Calibri" w:hAnsi="Calibri"/>
                <w:b w:val="0"/>
                <w:i w:val="0"/>
                <w:color w:val="000000"/>
                <w:sz w:val="18"/>
              </w:rPr>
              <w:t>20</w:t>
            </w:r>
          </w:p>
        </w:tc>
        <w:tc>
          <w:tcPr>
            <w:tcW w:w="1757" w:type="dxa"/>
          </w:tcPr>
          <w:p>
            <w:pPr>
              <w:jc w:val="right"/>
            </w:pPr>
            <w:r>
              <w:rPr>
                <w:rFonts w:ascii="Calibri" w:hAnsi="Calibri"/>
                <w:b w:val="0"/>
                <w:i w:val="0"/>
                <w:color w:val="000000"/>
                <w:sz w:val="18"/>
              </w:rPr>
              <w:t>€10,088,014</w:t>
            </w:r>
          </w:p>
        </w:tc>
      </w:tr>
      <w:tr>
        <w:tc>
          <w:tcPr>
            <w:shd w:val="clear" w:color="auto" w:fill="1A365D"/>
            <w:tcW w:w="2948" w:type="dxa"/>
          </w:tcPr>
          <w:p>
            <w:pPr>
              <w:jc w:val="left"/>
            </w:pPr>
            <w:r>
              <w:rPr>
                <w:rFonts w:ascii="Calibri" w:hAnsi="Calibri"/>
                <w:b/>
                <w:i w:val="0"/>
                <w:color w:val="FFFFFF"/>
                <w:sz w:val="18"/>
              </w:rPr>
              <w:t>Phase 1 — 2026 Delivery — Subtotal</w:t>
            </w:r>
          </w:p>
        </w:tc>
        <w:tc>
          <w:tcPr>
            <w:shd w:val="clear" w:color="auto" w:fill="1A365D"/>
            <w:tcW w:w="1020" w:type="dxa"/>
          </w:tcPr>
          <w:p>
            <w:pPr>
              <w:jc w:val="center"/>
            </w:pPr>
            <w:r>
              <w:rPr>
                <w:rFonts w:ascii="Calibri" w:hAnsi="Calibri"/>
                <w:b/>
                <w:i w:val="0"/>
                <w:color w:val="FFFFFF"/>
                <w:sz w:val="18"/>
              </w:rPr>
            </w:r>
          </w:p>
        </w:tc>
        <w:tc>
          <w:tcPr>
            <w:shd w:val="clear" w:color="auto" w:fill="1A365D"/>
            <w:tcW w:w="793" w:type="dxa"/>
          </w:tcPr>
          <w:p>
            <w:pPr>
              <w:jc w:val="center"/>
            </w:pPr>
            <w:r>
              <w:rPr>
                <w:rFonts w:ascii="Calibri" w:hAnsi="Calibri"/>
                <w:b/>
                <w:i w:val="0"/>
                <w:color w:val="FFFFFF"/>
                <w:sz w:val="18"/>
              </w:rPr>
              <w:t>39.50</w:t>
            </w:r>
          </w:p>
        </w:tc>
        <w:tc>
          <w:tcPr>
            <w:shd w:val="clear" w:color="auto" w:fill="1A365D"/>
            <w:tcW w:w="793" w:type="dxa"/>
          </w:tcPr>
          <w:p>
            <w:pPr>
              <w:jc w:val="center"/>
            </w:pPr>
            <w:r>
              <w:rPr>
                <w:rFonts w:ascii="Calibri" w:hAnsi="Calibri"/>
                <w:b/>
                <w:i w:val="0"/>
                <w:color w:val="FFFFFF"/>
                <w:sz w:val="18"/>
              </w:rPr>
              <w:t>180.0</w:t>
            </w:r>
          </w:p>
        </w:tc>
        <w:tc>
          <w:tcPr>
            <w:shd w:val="clear" w:color="auto" w:fill="1A365D"/>
            <w:tcW w:w="623" w:type="dxa"/>
          </w:tcPr>
          <w:p>
            <w:pPr>
              <w:jc w:val="center"/>
            </w:pPr>
            <w:r>
              <w:rPr>
                <w:rFonts w:ascii="Calibri" w:hAnsi="Calibri"/>
                <w:b/>
                <w:i w:val="0"/>
                <w:color w:val="FFFFFF"/>
                <w:sz w:val="18"/>
              </w:rPr>
              <w:t>36</w:t>
            </w:r>
          </w:p>
        </w:tc>
        <w:tc>
          <w:tcPr>
            <w:shd w:val="clear" w:color="auto" w:fill="1A365D"/>
            <w:tcW w:w="1757" w:type="dxa"/>
          </w:tcPr>
          <w:p>
            <w:pPr>
              <w:jc w:val="center"/>
            </w:pPr>
            <w:r>
              <w:rPr>
                <w:rFonts w:ascii="Calibri" w:hAnsi="Calibri"/>
                <w:b/>
                <w:i w:val="0"/>
                <w:color w:val="FFFFFF"/>
                <w:sz w:val="18"/>
              </w:rPr>
              <w:t>€18,048,873</w:t>
            </w:r>
          </w:p>
        </w:tc>
      </w:tr>
      <w:tr>
        <w:tc>
          <w:tcPr>
            <w:tcW w:w="2948" w:type="dxa"/>
          </w:tcPr>
          <w:p>
            <w:pPr>
              <w:jc w:val="left"/>
            </w:pPr>
            <w:r>
              <w:rPr>
                <w:rFonts w:ascii="Calibri" w:hAnsi="Calibri"/>
                <w:b w:val="0"/>
                <w:i w:val="0"/>
                <w:color w:val="000000"/>
                <w:sz w:val="18"/>
              </w:rPr>
              <w:t>Esperia Green Energy (Famagusta 2)</w:t>
            </w:r>
          </w:p>
        </w:tc>
        <w:tc>
          <w:tcPr>
            <w:tcW w:w="1020" w:type="dxa"/>
          </w:tcPr>
          <w:p>
            <w:pPr>
              <w:jc w:val="center"/>
            </w:pPr>
            <w:r>
              <w:rPr>
                <w:rFonts w:ascii="Calibri" w:hAnsi="Calibri"/>
                <w:b w:val="0"/>
                <w:i w:val="0"/>
                <w:color w:val="000000"/>
                <w:sz w:val="18"/>
              </w:rPr>
              <w:t>Famagusta</w:t>
            </w:r>
          </w:p>
        </w:tc>
        <w:tc>
          <w:tcPr>
            <w:tcW w:w="793" w:type="dxa"/>
          </w:tcPr>
          <w:p>
            <w:pPr>
              <w:jc w:val="right"/>
            </w:pPr>
            <w:r>
              <w:rPr>
                <w:rFonts w:ascii="Calibri" w:hAnsi="Calibri"/>
                <w:b w:val="0"/>
                <w:i w:val="0"/>
                <w:color w:val="000000"/>
                <w:sz w:val="18"/>
              </w:rPr>
              <w:t>5.00</w:t>
            </w:r>
          </w:p>
        </w:tc>
        <w:tc>
          <w:tcPr>
            <w:tcW w:w="793" w:type="dxa"/>
          </w:tcPr>
          <w:p>
            <w:pPr>
              <w:jc w:val="right"/>
            </w:pPr>
            <w:r>
              <w:rPr>
                <w:rFonts w:ascii="Calibri" w:hAnsi="Calibri"/>
                <w:b w:val="0"/>
                <w:i w:val="0"/>
                <w:color w:val="000000"/>
                <w:sz w:val="18"/>
              </w:rPr>
              <w:t>20.0</w:t>
            </w:r>
          </w:p>
        </w:tc>
        <w:tc>
          <w:tcPr>
            <w:tcW w:w="623" w:type="dxa"/>
          </w:tcPr>
          <w:p>
            <w:pPr>
              <w:jc w:val="right"/>
            </w:pPr>
            <w:r>
              <w:rPr>
                <w:rFonts w:ascii="Calibri" w:hAnsi="Calibri"/>
                <w:b w:val="0"/>
                <w:i w:val="0"/>
                <w:color w:val="000000"/>
                <w:sz w:val="18"/>
              </w:rPr>
              <w:t>4</w:t>
            </w:r>
          </w:p>
        </w:tc>
        <w:tc>
          <w:tcPr>
            <w:tcW w:w="1757" w:type="dxa"/>
          </w:tcPr>
          <w:p>
            <w:pPr>
              <w:jc w:val="right"/>
            </w:pPr>
            <w:r>
              <w:rPr>
                <w:rFonts w:ascii="Calibri" w:hAnsi="Calibri"/>
                <w:b w:val="0"/>
                <w:i w:val="0"/>
                <w:color w:val="000000"/>
                <w:sz w:val="18"/>
              </w:rPr>
              <w:t>€2,189,416</w:t>
            </w:r>
          </w:p>
        </w:tc>
      </w:tr>
      <w:tr>
        <w:tc>
          <w:tcPr>
            <w:shd w:val="clear" w:color="auto" w:fill="1A365D"/>
            <w:tcW w:w="2948" w:type="dxa"/>
          </w:tcPr>
          <w:p>
            <w:pPr>
              <w:jc w:val="left"/>
            </w:pPr>
            <w:r>
              <w:rPr>
                <w:rFonts w:ascii="Calibri" w:hAnsi="Calibri"/>
                <w:b/>
                <w:i w:val="0"/>
                <w:color w:val="FFFFFF"/>
                <w:sz w:val="18"/>
              </w:rPr>
              <w:t>Phase 2 — 2027 Delivery — Subtotal</w:t>
            </w:r>
          </w:p>
        </w:tc>
        <w:tc>
          <w:tcPr>
            <w:shd w:val="clear" w:color="auto" w:fill="1A365D"/>
            <w:tcW w:w="1020" w:type="dxa"/>
          </w:tcPr>
          <w:p>
            <w:pPr>
              <w:jc w:val="center"/>
            </w:pPr>
            <w:r>
              <w:rPr>
                <w:rFonts w:ascii="Calibri" w:hAnsi="Calibri"/>
                <w:b/>
                <w:i w:val="0"/>
                <w:color w:val="FFFFFF"/>
                <w:sz w:val="18"/>
              </w:rPr>
            </w:r>
          </w:p>
        </w:tc>
        <w:tc>
          <w:tcPr>
            <w:shd w:val="clear" w:color="auto" w:fill="1A365D"/>
            <w:tcW w:w="793" w:type="dxa"/>
          </w:tcPr>
          <w:p>
            <w:pPr>
              <w:jc w:val="center"/>
            </w:pPr>
            <w:r>
              <w:rPr>
                <w:rFonts w:ascii="Calibri" w:hAnsi="Calibri"/>
                <w:b/>
                <w:i w:val="0"/>
                <w:color w:val="FFFFFF"/>
                <w:sz w:val="18"/>
              </w:rPr>
              <w:t>5.00</w:t>
            </w:r>
          </w:p>
        </w:tc>
        <w:tc>
          <w:tcPr>
            <w:shd w:val="clear" w:color="auto" w:fill="1A365D"/>
            <w:tcW w:w="793" w:type="dxa"/>
          </w:tcPr>
          <w:p>
            <w:pPr>
              <w:jc w:val="center"/>
            </w:pPr>
            <w:r>
              <w:rPr>
                <w:rFonts w:ascii="Calibri" w:hAnsi="Calibri"/>
                <w:b/>
                <w:i w:val="0"/>
                <w:color w:val="FFFFFF"/>
                <w:sz w:val="18"/>
              </w:rPr>
              <w:t>20.0</w:t>
            </w:r>
          </w:p>
        </w:tc>
        <w:tc>
          <w:tcPr>
            <w:shd w:val="clear" w:color="auto" w:fill="1A365D"/>
            <w:tcW w:w="623" w:type="dxa"/>
          </w:tcPr>
          <w:p>
            <w:pPr>
              <w:jc w:val="center"/>
            </w:pPr>
            <w:r>
              <w:rPr>
                <w:rFonts w:ascii="Calibri" w:hAnsi="Calibri"/>
                <w:b/>
                <w:i w:val="0"/>
                <w:color w:val="FFFFFF"/>
                <w:sz w:val="18"/>
              </w:rPr>
              <w:t>4</w:t>
            </w:r>
          </w:p>
        </w:tc>
        <w:tc>
          <w:tcPr>
            <w:shd w:val="clear" w:color="auto" w:fill="1A365D"/>
            <w:tcW w:w="1757" w:type="dxa"/>
          </w:tcPr>
          <w:p>
            <w:pPr>
              <w:jc w:val="center"/>
            </w:pPr>
            <w:r>
              <w:rPr>
                <w:rFonts w:ascii="Calibri" w:hAnsi="Calibri"/>
                <w:b/>
                <w:i w:val="0"/>
                <w:color w:val="FFFFFF"/>
                <w:sz w:val="18"/>
              </w:rPr>
              <w:t>€2,189,416</w:t>
            </w:r>
          </w:p>
        </w:tc>
      </w:tr>
      <w:tr>
        <w:tc>
          <w:tcPr>
            <w:tcW w:w="2948" w:type="dxa"/>
          </w:tcPr>
          <w:p>
            <w:pPr>
              <w:jc w:val="left"/>
            </w:pPr>
            <w:r>
              <w:rPr>
                <w:rFonts w:ascii="Calibri" w:hAnsi="Calibri"/>
                <w:b w:val="0"/>
                <w:i w:val="0"/>
                <w:color w:val="000000"/>
                <w:sz w:val="18"/>
              </w:rPr>
              <w:t>Esperia Energy (Tseri)</w:t>
            </w:r>
          </w:p>
        </w:tc>
        <w:tc>
          <w:tcPr>
            <w:tcW w:w="1020" w:type="dxa"/>
          </w:tcPr>
          <w:p>
            <w:pPr>
              <w:jc w:val="center"/>
            </w:pPr>
            <w:r>
              <w:rPr>
                <w:rFonts w:ascii="Calibri" w:hAnsi="Calibri"/>
                <w:b w:val="0"/>
                <w:i w:val="0"/>
                <w:color w:val="000000"/>
                <w:sz w:val="18"/>
              </w:rPr>
              <w:t>Nicosia</w:t>
            </w:r>
          </w:p>
        </w:tc>
        <w:tc>
          <w:tcPr>
            <w:tcW w:w="793" w:type="dxa"/>
          </w:tcPr>
          <w:p>
            <w:pPr>
              <w:jc w:val="right"/>
            </w:pPr>
            <w:r>
              <w:rPr>
                <w:rFonts w:ascii="Calibri" w:hAnsi="Calibri"/>
                <w:b w:val="0"/>
                <w:i w:val="0"/>
                <w:color w:val="000000"/>
                <w:sz w:val="18"/>
              </w:rPr>
              <w:t>7.00</w:t>
            </w:r>
          </w:p>
        </w:tc>
        <w:tc>
          <w:tcPr>
            <w:tcW w:w="793" w:type="dxa"/>
          </w:tcPr>
          <w:p>
            <w:pPr>
              <w:jc w:val="right"/>
            </w:pPr>
            <w:r>
              <w:rPr>
                <w:rFonts w:ascii="Calibri" w:hAnsi="Calibri"/>
                <w:b w:val="0"/>
                <w:i w:val="0"/>
                <w:color w:val="000000"/>
                <w:sz w:val="18"/>
              </w:rPr>
              <w:t>20.0</w:t>
            </w:r>
          </w:p>
        </w:tc>
        <w:tc>
          <w:tcPr>
            <w:tcW w:w="623" w:type="dxa"/>
          </w:tcPr>
          <w:p>
            <w:pPr>
              <w:jc w:val="right"/>
            </w:pPr>
            <w:r>
              <w:rPr>
                <w:rFonts w:ascii="Calibri" w:hAnsi="Calibri"/>
                <w:b w:val="0"/>
                <w:i w:val="0"/>
                <w:color w:val="000000"/>
                <w:sz w:val="18"/>
              </w:rPr>
              <w:t>4</w:t>
            </w:r>
          </w:p>
        </w:tc>
        <w:tc>
          <w:tcPr>
            <w:tcW w:w="1757" w:type="dxa"/>
          </w:tcPr>
          <w:p>
            <w:pPr>
              <w:jc w:val="right"/>
            </w:pPr>
            <w:r>
              <w:rPr>
                <w:rFonts w:ascii="Calibri" w:hAnsi="Calibri"/>
                <w:b w:val="0"/>
                <w:i w:val="0"/>
                <w:color w:val="000000"/>
                <w:sz w:val="18"/>
              </w:rPr>
              <w:t>€2,382,035</w:t>
            </w:r>
          </w:p>
        </w:tc>
      </w:tr>
      <w:tr>
        <w:tc>
          <w:tcPr>
            <w:tcW w:w="2948" w:type="dxa"/>
          </w:tcPr>
          <w:p>
            <w:pPr>
              <w:jc w:val="left"/>
            </w:pPr>
            <w:r>
              <w:rPr>
                <w:rFonts w:ascii="Calibri" w:hAnsi="Calibri"/>
                <w:b w:val="0"/>
                <w:i w:val="0"/>
                <w:color w:val="000000"/>
                <w:sz w:val="18"/>
              </w:rPr>
              <w:t>Esperia Energy (Tseri 2-A)</w:t>
            </w:r>
          </w:p>
        </w:tc>
        <w:tc>
          <w:tcPr>
            <w:tcW w:w="1020" w:type="dxa"/>
          </w:tcPr>
          <w:p>
            <w:pPr>
              <w:jc w:val="center"/>
            </w:pPr>
            <w:r>
              <w:rPr>
                <w:rFonts w:ascii="Calibri" w:hAnsi="Calibri"/>
                <w:b w:val="0"/>
                <w:i w:val="0"/>
                <w:color w:val="000000"/>
                <w:sz w:val="18"/>
              </w:rPr>
              <w:t>Nicosia</w:t>
            </w:r>
          </w:p>
        </w:tc>
        <w:tc>
          <w:tcPr>
            <w:tcW w:w="793" w:type="dxa"/>
          </w:tcPr>
          <w:p>
            <w:pPr>
              <w:jc w:val="right"/>
            </w:pPr>
            <w:r>
              <w:rPr>
                <w:rFonts w:ascii="Calibri" w:hAnsi="Calibri"/>
                <w:b w:val="0"/>
                <w:i w:val="0"/>
                <w:color w:val="000000"/>
                <w:sz w:val="18"/>
              </w:rPr>
              <w:t>2.50</w:t>
            </w:r>
          </w:p>
        </w:tc>
        <w:tc>
          <w:tcPr>
            <w:tcW w:w="793" w:type="dxa"/>
          </w:tcPr>
          <w:p>
            <w:pPr>
              <w:jc w:val="right"/>
            </w:pPr>
            <w:r>
              <w:rPr>
                <w:rFonts w:ascii="Calibri" w:hAnsi="Calibri"/>
                <w:b w:val="0"/>
                <w:i w:val="0"/>
                <w:color w:val="000000"/>
                <w:sz w:val="18"/>
              </w:rPr>
              <w:t>7.5</w:t>
            </w:r>
          </w:p>
        </w:tc>
        <w:tc>
          <w:tcPr>
            <w:tcW w:w="623" w:type="dxa"/>
          </w:tcPr>
          <w:p>
            <w:pPr>
              <w:jc w:val="right"/>
            </w:pPr>
            <w:r>
              <w:rPr>
                <w:rFonts w:ascii="Calibri" w:hAnsi="Calibri"/>
                <w:b w:val="0"/>
                <w:i w:val="0"/>
                <w:color w:val="000000"/>
                <w:sz w:val="18"/>
              </w:rPr>
              <w:t>2</w:t>
            </w:r>
          </w:p>
        </w:tc>
        <w:tc>
          <w:tcPr>
            <w:tcW w:w="1757" w:type="dxa"/>
          </w:tcPr>
          <w:p>
            <w:pPr>
              <w:jc w:val="right"/>
            </w:pPr>
            <w:r>
              <w:rPr>
                <w:rFonts w:ascii="Calibri" w:hAnsi="Calibri"/>
                <w:b w:val="0"/>
                <w:i w:val="0"/>
                <w:color w:val="000000"/>
                <w:sz w:val="18"/>
              </w:rPr>
              <w:t>€1,084,620</w:t>
            </w:r>
          </w:p>
        </w:tc>
      </w:tr>
      <w:tr>
        <w:tc>
          <w:tcPr>
            <w:tcW w:w="2948" w:type="dxa"/>
          </w:tcPr>
          <w:p>
            <w:pPr>
              <w:jc w:val="left"/>
            </w:pPr>
            <w:r>
              <w:rPr>
                <w:rFonts w:ascii="Calibri" w:hAnsi="Calibri"/>
                <w:b w:val="0"/>
                <w:i w:val="0"/>
                <w:color w:val="000000"/>
                <w:sz w:val="18"/>
              </w:rPr>
              <w:t>Esperia Energy (Tseri 2-B)</w:t>
            </w:r>
          </w:p>
        </w:tc>
        <w:tc>
          <w:tcPr>
            <w:tcW w:w="1020" w:type="dxa"/>
          </w:tcPr>
          <w:p>
            <w:pPr>
              <w:jc w:val="center"/>
            </w:pPr>
            <w:r>
              <w:rPr>
                <w:rFonts w:ascii="Calibri" w:hAnsi="Calibri"/>
                <w:b w:val="0"/>
                <w:i w:val="0"/>
                <w:color w:val="000000"/>
                <w:sz w:val="18"/>
              </w:rPr>
              <w:t>Nicosia</w:t>
            </w:r>
          </w:p>
        </w:tc>
        <w:tc>
          <w:tcPr>
            <w:tcW w:w="793" w:type="dxa"/>
          </w:tcPr>
          <w:p>
            <w:pPr>
              <w:jc w:val="right"/>
            </w:pPr>
            <w:r>
              <w:rPr>
                <w:rFonts w:ascii="Calibri" w:hAnsi="Calibri"/>
                <w:b w:val="0"/>
                <w:i w:val="0"/>
                <w:color w:val="000000"/>
                <w:sz w:val="18"/>
              </w:rPr>
              <w:t>7.50</w:t>
            </w:r>
          </w:p>
        </w:tc>
        <w:tc>
          <w:tcPr>
            <w:tcW w:w="793" w:type="dxa"/>
          </w:tcPr>
          <w:p>
            <w:pPr>
              <w:jc w:val="right"/>
            </w:pPr>
            <w:r>
              <w:rPr>
                <w:rFonts w:ascii="Calibri" w:hAnsi="Calibri"/>
                <w:b w:val="0"/>
                <w:i w:val="0"/>
                <w:color w:val="000000"/>
                <w:sz w:val="18"/>
              </w:rPr>
              <w:t>25.0</w:t>
            </w:r>
          </w:p>
        </w:tc>
        <w:tc>
          <w:tcPr>
            <w:tcW w:w="623" w:type="dxa"/>
          </w:tcPr>
          <w:p>
            <w:pPr>
              <w:jc w:val="right"/>
            </w:pPr>
            <w:r>
              <w:rPr>
                <w:rFonts w:ascii="Calibri" w:hAnsi="Calibri"/>
                <w:b w:val="0"/>
                <w:i w:val="0"/>
                <w:color w:val="000000"/>
                <w:sz w:val="18"/>
              </w:rPr>
              <w:t>5</w:t>
            </w:r>
          </w:p>
        </w:tc>
        <w:tc>
          <w:tcPr>
            <w:tcW w:w="1757" w:type="dxa"/>
          </w:tcPr>
          <w:p>
            <w:pPr>
              <w:jc w:val="right"/>
            </w:pPr>
            <w:r>
              <w:rPr>
                <w:rFonts w:ascii="Calibri" w:hAnsi="Calibri"/>
                <w:b w:val="0"/>
                <w:i w:val="0"/>
                <w:color w:val="000000"/>
                <w:sz w:val="18"/>
              </w:rPr>
              <w:t>€2,912,993</w:t>
            </w:r>
          </w:p>
        </w:tc>
      </w:tr>
      <w:tr>
        <w:tc>
          <w:tcPr>
            <w:tcW w:w="2948" w:type="dxa"/>
          </w:tcPr>
          <w:p>
            <w:pPr>
              <w:jc w:val="left"/>
            </w:pPr>
            <w:r>
              <w:rPr>
                <w:rFonts w:ascii="Calibri" w:hAnsi="Calibri"/>
                <w:b w:val="0"/>
                <w:i w:val="0"/>
                <w:color w:val="000000"/>
                <w:sz w:val="18"/>
              </w:rPr>
              <w:t>Esperia Energy (Tseri 2-C)</w:t>
            </w:r>
          </w:p>
        </w:tc>
        <w:tc>
          <w:tcPr>
            <w:tcW w:w="1020" w:type="dxa"/>
          </w:tcPr>
          <w:p>
            <w:pPr>
              <w:jc w:val="center"/>
            </w:pPr>
            <w:r>
              <w:rPr>
                <w:rFonts w:ascii="Calibri" w:hAnsi="Calibri"/>
                <w:b w:val="0"/>
                <w:i w:val="0"/>
                <w:color w:val="000000"/>
                <w:sz w:val="18"/>
              </w:rPr>
              <w:t>Nicosia</w:t>
            </w:r>
          </w:p>
        </w:tc>
        <w:tc>
          <w:tcPr>
            <w:tcW w:w="793" w:type="dxa"/>
          </w:tcPr>
          <w:p>
            <w:pPr>
              <w:jc w:val="right"/>
            </w:pPr>
            <w:r>
              <w:rPr>
                <w:rFonts w:ascii="Calibri" w:hAnsi="Calibri"/>
                <w:b w:val="0"/>
                <w:i w:val="0"/>
                <w:color w:val="000000"/>
                <w:sz w:val="18"/>
              </w:rPr>
              <w:t>6.00</w:t>
            </w:r>
          </w:p>
        </w:tc>
        <w:tc>
          <w:tcPr>
            <w:tcW w:w="793" w:type="dxa"/>
          </w:tcPr>
          <w:p>
            <w:pPr>
              <w:jc w:val="right"/>
            </w:pPr>
            <w:r>
              <w:rPr>
                <w:rFonts w:ascii="Calibri" w:hAnsi="Calibri"/>
                <w:b w:val="0"/>
                <w:i w:val="0"/>
                <w:color w:val="000000"/>
                <w:sz w:val="18"/>
              </w:rPr>
              <w:t>20.0</w:t>
            </w:r>
          </w:p>
        </w:tc>
        <w:tc>
          <w:tcPr>
            <w:tcW w:w="623" w:type="dxa"/>
          </w:tcPr>
          <w:p>
            <w:pPr>
              <w:jc w:val="right"/>
            </w:pPr>
            <w:r>
              <w:rPr>
                <w:rFonts w:ascii="Calibri" w:hAnsi="Calibri"/>
                <w:b w:val="0"/>
                <w:i w:val="0"/>
                <w:color w:val="000000"/>
                <w:sz w:val="18"/>
              </w:rPr>
              <w:t>4</w:t>
            </w:r>
          </w:p>
        </w:tc>
        <w:tc>
          <w:tcPr>
            <w:tcW w:w="1757" w:type="dxa"/>
          </w:tcPr>
          <w:p>
            <w:pPr>
              <w:jc w:val="right"/>
            </w:pPr>
            <w:r>
              <w:rPr>
                <w:rFonts w:ascii="Calibri" w:hAnsi="Calibri"/>
                <w:b w:val="0"/>
                <w:i w:val="0"/>
                <w:color w:val="000000"/>
                <w:sz w:val="18"/>
              </w:rPr>
              <w:t>€1,551,848</w:t>
            </w:r>
          </w:p>
        </w:tc>
      </w:tr>
      <w:tr>
        <w:tc>
          <w:tcPr>
            <w:tcW w:w="2948" w:type="dxa"/>
          </w:tcPr>
          <w:p>
            <w:pPr>
              <w:jc w:val="left"/>
            </w:pPr>
            <w:r>
              <w:rPr>
                <w:rFonts w:ascii="Calibri" w:hAnsi="Calibri"/>
                <w:b w:val="0"/>
                <w:i w:val="0"/>
                <w:color w:val="000000"/>
                <w:sz w:val="18"/>
              </w:rPr>
              <w:t>Esperia Energy (Tseri 3)</w:t>
            </w:r>
          </w:p>
        </w:tc>
        <w:tc>
          <w:tcPr>
            <w:tcW w:w="1020" w:type="dxa"/>
          </w:tcPr>
          <w:p>
            <w:pPr>
              <w:jc w:val="center"/>
            </w:pPr>
            <w:r>
              <w:rPr>
                <w:rFonts w:ascii="Calibri" w:hAnsi="Calibri"/>
                <w:b w:val="0"/>
                <w:i w:val="0"/>
                <w:color w:val="000000"/>
                <w:sz w:val="18"/>
              </w:rPr>
              <w:t>Nicosia</w:t>
            </w:r>
          </w:p>
        </w:tc>
        <w:tc>
          <w:tcPr>
            <w:tcW w:w="793" w:type="dxa"/>
          </w:tcPr>
          <w:p>
            <w:pPr>
              <w:jc w:val="right"/>
            </w:pPr>
            <w:r>
              <w:rPr>
                <w:rFonts w:ascii="Calibri" w:hAnsi="Calibri"/>
                <w:b w:val="0"/>
                <w:i w:val="0"/>
                <w:color w:val="000000"/>
                <w:sz w:val="18"/>
              </w:rPr>
              <w:t>4.75</w:t>
            </w:r>
          </w:p>
        </w:tc>
        <w:tc>
          <w:tcPr>
            <w:tcW w:w="793" w:type="dxa"/>
          </w:tcPr>
          <w:p>
            <w:pPr>
              <w:jc w:val="right"/>
            </w:pPr>
            <w:r>
              <w:rPr>
                <w:rFonts w:ascii="Calibri" w:hAnsi="Calibri"/>
                <w:b w:val="0"/>
                <w:i w:val="0"/>
                <w:color w:val="000000"/>
                <w:sz w:val="18"/>
              </w:rPr>
              <w:t>15.0</w:t>
            </w:r>
          </w:p>
        </w:tc>
        <w:tc>
          <w:tcPr>
            <w:tcW w:w="623" w:type="dxa"/>
          </w:tcPr>
          <w:p>
            <w:pPr>
              <w:jc w:val="right"/>
            </w:pPr>
            <w:r>
              <w:rPr>
                <w:rFonts w:ascii="Calibri" w:hAnsi="Calibri"/>
                <w:b w:val="0"/>
                <w:i w:val="0"/>
                <w:color w:val="000000"/>
                <w:sz w:val="18"/>
              </w:rPr>
              <w:t>3</w:t>
            </w:r>
          </w:p>
        </w:tc>
        <w:tc>
          <w:tcPr>
            <w:tcW w:w="1757" w:type="dxa"/>
          </w:tcPr>
          <w:p>
            <w:pPr>
              <w:jc w:val="right"/>
            </w:pPr>
            <w:r>
              <w:rPr>
                <w:rFonts w:ascii="Calibri" w:hAnsi="Calibri"/>
                <w:b w:val="0"/>
                <w:i w:val="0"/>
                <w:color w:val="000000"/>
                <w:sz w:val="18"/>
              </w:rPr>
              <w:t>€1,874,143</w:t>
            </w:r>
          </w:p>
        </w:tc>
      </w:tr>
      <w:tr>
        <w:tc>
          <w:tcPr>
            <w:shd w:val="clear" w:color="auto" w:fill="1A365D"/>
            <w:tcW w:w="2948" w:type="dxa"/>
          </w:tcPr>
          <w:p>
            <w:pPr>
              <w:jc w:val="left"/>
            </w:pPr>
            <w:r>
              <w:rPr>
                <w:rFonts w:ascii="Calibri" w:hAnsi="Calibri"/>
                <w:b/>
                <w:i w:val="0"/>
                <w:color w:val="FFFFFF"/>
                <w:sz w:val="18"/>
              </w:rPr>
              <w:t>Phase 3 — 2028 Delivery (Tseri Portfolio) — Subtotal</w:t>
            </w:r>
          </w:p>
        </w:tc>
        <w:tc>
          <w:tcPr>
            <w:shd w:val="clear" w:color="auto" w:fill="1A365D"/>
            <w:tcW w:w="1020" w:type="dxa"/>
          </w:tcPr>
          <w:p>
            <w:pPr>
              <w:jc w:val="center"/>
            </w:pPr>
            <w:r>
              <w:rPr>
                <w:rFonts w:ascii="Calibri" w:hAnsi="Calibri"/>
                <w:b/>
                <w:i w:val="0"/>
                <w:color w:val="FFFFFF"/>
                <w:sz w:val="18"/>
              </w:rPr>
            </w:r>
          </w:p>
        </w:tc>
        <w:tc>
          <w:tcPr>
            <w:shd w:val="clear" w:color="auto" w:fill="1A365D"/>
            <w:tcW w:w="793" w:type="dxa"/>
          </w:tcPr>
          <w:p>
            <w:pPr>
              <w:jc w:val="center"/>
            </w:pPr>
            <w:r>
              <w:rPr>
                <w:rFonts w:ascii="Calibri" w:hAnsi="Calibri"/>
                <w:b/>
                <w:i w:val="0"/>
                <w:color w:val="FFFFFF"/>
                <w:sz w:val="18"/>
              </w:rPr>
              <w:t>27.75</w:t>
            </w:r>
          </w:p>
        </w:tc>
        <w:tc>
          <w:tcPr>
            <w:shd w:val="clear" w:color="auto" w:fill="1A365D"/>
            <w:tcW w:w="793" w:type="dxa"/>
          </w:tcPr>
          <w:p>
            <w:pPr>
              <w:jc w:val="center"/>
            </w:pPr>
            <w:r>
              <w:rPr>
                <w:rFonts w:ascii="Calibri" w:hAnsi="Calibri"/>
                <w:b/>
                <w:i w:val="0"/>
                <w:color w:val="FFFFFF"/>
                <w:sz w:val="18"/>
              </w:rPr>
              <w:t>87.5</w:t>
            </w:r>
          </w:p>
        </w:tc>
        <w:tc>
          <w:tcPr>
            <w:shd w:val="clear" w:color="auto" w:fill="1A365D"/>
            <w:tcW w:w="623" w:type="dxa"/>
          </w:tcPr>
          <w:p>
            <w:pPr>
              <w:jc w:val="center"/>
            </w:pPr>
            <w:r>
              <w:rPr>
                <w:rFonts w:ascii="Calibri" w:hAnsi="Calibri"/>
                <w:b/>
                <w:i w:val="0"/>
                <w:color w:val="FFFFFF"/>
                <w:sz w:val="18"/>
              </w:rPr>
              <w:t>18</w:t>
            </w:r>
          </w:p>
        </w:tc>
        <w:tc>
          <w:tcPr>
            <w:shd w:val="clear" w:color="auto" w:fill="1A365D"/>
            <w:tcW w:w="1757" w:type="dxa"/>
          </w:tcPr>
          <w:p>
            <w:pPr>
              <w:jc w:val="center"/>
            </w:pPr>
            <w:r>
              <w:rPr>
                <w:rFonts w:ascii="Calibri" w:hAnsi="Calibri"/>
                <w:b/>
                <w:i w:val="0"/>
                <w:color w:val="FFFFFF"/>
                <w:sz w:val="18"/>
              </w:rPr>
              <w:t>€9,805,639</w:t>
            </w:r>
          </w:p>
        </w:tc>
      </w:tr>
      <w:tr>
        <w:tc>
          <w:tcPr>
            <w:shd w:val="clear" w:color="auto" w:fill="1A365D"/>
            <w:tcW w:w="2948" w:type="dxa"/>
          </w:tcPr>
          <w:p>
            <w:pPr>
              <w:jc w:val="left"/>
            </w:pPr>
            <w:r>
              <w:rPr>
                <w:rFonts w:ascii="Calibri" w:hAnsi="Calibri"/>
                <w:b/>
                <w:i w:val="0"/>
                <w:color w:val="FFFFFF"/>
                <w:sz w:val="18"/>
              </w:rPr>
              <w:t>TOTAL PIPELINE  (9 parks)</w:t>
            </w:r>
          </w:p>
        </w:tc>
        <w:tc>
          <w:tcPr>
            <w:shd w:val="clear" w:color="auto" w:fill="1A365D"/>
            <w:tcW w:w="1020" w:type="dxa"/>
          </w:tcPr>
          <w:p>
            <w:pPr>
              <w:jc w:val="center"/>
            </w:pPr>
            <w:r>
              <w:rPr>
                <w:rFonts w:ascii="Calibri" w:hAnsi="Calibri"/>
                <w:b/>
                <w:i w:val="0"/>
                <w:color w:val="FFFFFF"/>
                <w:sz w:val="18"/>
              </w:rPr>
            </w:r>
          </w:p>
        </w:tc>
        <w:tc>
          <w:tcPr>
            <w:shd w:val="clear" w:color="auto" w:fill="1A365D"/>
            <w:tcW w:w="793" w:type="dxa"/>
          </w:tcPr>
          <w:p>
            <w:pPr>
              <w:jc w:val="center"/>
            </w:pPr>
            <w:r>
              <w:rPr>
                <w:rFonts w:ascii="Calibri" w:hAnsi="Calibri"/>
                <w:b/>
                <w:i w:val="0"/>
                <w:color w:val="FFFFFF"/>
                <w:sz w:val="18"/>
              </w:rPr>
              <w:t>72.25</w:t>
            </w:r>
          </w:p>
        </w:tc>
        <w:tc>
          <w:tcPr>
            <w:shd w:val="clear" w:color="auto" w:fill="1A365D"/>
            <w:tcW w:w="793" w:type="dxa"/>
          </w:tcPr>
          <w:p>
            <w:pPr>
              <w:jc w:val="center"/>
            </w:pPr>
            <w:r>
              <w:rPr>
                <w:rFonts w:ascii="Calibri" w:hAnsi="Calibri"/>
                <w:b/>
                <w:i w:val="0"/>
                <w:color w:val="FFFFFF"/>
                <w:sz w:val="18"/>
              </w:rPr>
              <w:t>287.5</w:t>
            </w:r>
          </w:p>
        </w:tc>
        <w:tc>
          <w:tcPr>
            <w:shd w:val="clear" w:color="auto" w:fill="1A365D"/>
            <w:tcW w:w="623" w:type="dxa"/>
          </w:tcPr>
          <w:p>
            <w:pPr>
              <w:jc w:val="center"/>
            </w:pPr>
            <w:r>
              <w:rPr>
                <w:rFonts w:ascii="Calibri" w:hAnsi="Calibri"/>
                <w:b/>
                <w:i w:val="0"/>
                <w:color w:val="FFFFFF"/>
                <w:sz w:val="18"/>
              </w:rPr>
              <w:t>58</w:t>
            </w:r>
          </w:p>
        </w:tc>
        <w:tc>
          <w:tcPr>
            <w:shd w:val="clear" w:color="auto" w:fill="1A365D"/>
            <w:tcW w:w="1757" w:type="dxa"/>
          </w:tcPr>
          <w:p>
            <w:pPr>
              <w:jc w:val="center"/>
            </w:pPr>
            <w:r>
              <w:rPr>
                <w:rFonts w:ascii="Calibri" w:hAnsi="Calibri"/>
                <w:b/>
                <w:i w:val="0"/>
                <w:color w:val="FFFFFF"/>
                <w:sz w:val="18"/>
              </w:rPr>
              <w:t>€30,043,928</w:t>
            </w:r>
          </w:p>
        </w:tc>
      </w:tr>
    </w:tbl>
    <w:p/>
    <w:p>
      <w:pPr>
        <w:spacing w:before="280" w:after="80"/>
      </w:pPr>
      <w:r>
        <w:rPr>
          <w:rFonts w:ascii="Calibri" w:hAnsi="Calibri"/>
          <w:b/>
          <w:color w:val="C9A432"/>
          <w:sz w:val="28"/>
        </w:rPr>
        <w:t>3.  Phased Delivery &amp; Conditions</w:t>
      </w:r>
    </w:p>
    <w:p>
      <w:pPr>
        <w:spacing w:before="280" w:after="80"/>
      </w:pPr>
      <w:r>
        <w:rPr>
          <w:rFonts w:ascii="Calibri" w:hAnsi="Calibri"/>
          <w:b/>
          <w:color w:val="C9A432"/>
          <w:sz w:val="24"/>
        </w:rPr>
        <w:t>Phase 1 — 2026 Delivery (3 Parks, 180 MWh)</w:t>
      </w:r>
    </w:p>
    <w:p>
      <w:pPr>
        <w:spacing w:after="120"/>
      </w:pPr>
      <w:r>
        <w:rPr>
          <w:rFonts w:ascii="Calibri" w:hAnsi="Calibri"/>
          <w:b w:val="0"/>
          <w:i w:val="0"/>
          <w:color w:val="000000"/>
          <w:sz w:val="20"/>
        </w:rPr>
        <w:t>The Client intends to execute EPC Agreements for the three Phase 1 parks (Esperia Energy Famagusta, Esperia Green Energy Limassol, Esperia Energy Frenaros) no later than Q2 2026. Target commissioning for all Phase 1 parks is Q4 2026, subject to EAC/DSO grid connection approvals.</w:t>
      </w:r>
    </w:p>
    <w:p>
      <w:pPr>
        <w:spacing w:before="280" w:after="80"/>
      </w:pPr>
      <w:r>
        <w:rPr>
          <w:rFonts w:ascii="Calibri" w:hAnsi="Calibri"/>
          <w:b/>
          <w:color w:val="C9A432"/>
          <w:sz w:val="24"/>
        </w:rPr>
        <w:t>Phase 2 — 2027 Delivery (1 Park, 20 MWh)</w:t>
      </w:r>
    </w:p>
    <w:p>
      <w:pPr>
        <w:spacing w:after="120"/>
      </w:pPr>
      <w:r>
        <w:rPr>
          <w:rFonts w:ascii="Calibri" w:hAnsi="Calibri"/>
          <w:b w:val="0"/>
          <w:i w:val="0"/>
          <w:color w:val="000000"/>
          <w:sz w:val="20"/>
        </w:rPr>
        <w:t>Esperia Green Energy (Famagusta 2, 5.0 MW / 20 MWh) is targeted for EPC execution in Q3 2027, with COD in Q1 2028. Execution is subject to grid connection approval from EAC for the Famagusta 2 site.</w:t>
      </w:r>
    </w:p>
    <w:p>
      <w:pPr>
        <w:spacing w:before="280" w:after="80"/>
      </w:pPr>
      <w:r>
        <w:rPr>
          <w:rFonts w:ascii="Calibri" w:hAnsi="Calibri"/>
          <w:b/>
          <w:color w:val="C9A432"/>
          <w:sz w:val="24"/>
        </w:rPr>
        <w:t>Phase 3 — 2028 Delivery (5 Parks, Tseri Portfolio, 87.5 MWh)</w:t>
      </w:r>
    </w:p>
    <w:p>
      <w:pPr>
        <w:spacing w:after="120"/>
      </w:pPr>
      <w:r>
        <w:rPr>
          <w:rFonts w:ascii="Calibri" w:hAnsi="Calibri"/>
          <w:b w:val="0"/>
          <w:i w:val="0"/>
          <w:color w:val="000000"/>
          <w:sz w:val="20"/>
        </w:rPr>
        <w:t>The Tseri portfolio (Nicosia district) comprising five parks is targeted for EPC execution in 2027, with staggered commissioning through 2028. Final specifications and split of Tseri 2 sub-entities are subject to confirmation.</w:t>
      </w:r>
    </w:p>
    <w:p>
      <w:pPr>
        <w:spacing w:after="60"/>
      </w:pPr>
      <w:r>
        <w:rPr>
          <w:rFonts w:ascii="Calibri" w:hAnsi="Calibri"/>
          <w:b w:val="0"/>
          <w:i w:val="0"/>
          <w:color w:val="000000"/>
          <w:sz w:val="20"/>
        </w:rPr>
        <w:t>For all phases, EPC execution is subject to:</w:t>
      </w:r>
    </w:p>
    <w:p>
      <w:pPr>
        <w:pStyle w:val="ListBullet"/>
        <w:spacing w:after="40"/>
      </w:pPr>
      <w:r>
        <w:rPr>
          <w:rFonts w:ascii="Calibri" w:hAnsi="Calibri"/>
          <w:b w:val="0"/>
          <w:i w:val="0"/>
          <w:color w:val="000000"/>
          <w:sz w:val="20"/>
        </w:rPr>
        <w:t>Successful commissioning and performance verification of the preceding phase;</w:t>
      </w:r>
    </w:p>
    <w:p>
      <w:pPr>
        <w:pStyle w:val="ListBullet"/>
        <w:spacing w:after="40"/>
      </w:pPr>
      <w:r>
        <w:rPr>
          <w:rFonts w:ascii="Calibri" w:hAnsi="Calibri"/>
          <w:b w:val="0"/>
          <w:i w:val="0"/>
          <w:color w:val="000000"/>
          <w:sz w:val="20"/>
        </w:rPr>
        <w:t>Availability of grid connection approvals from EAC / DSO;</w:t>
      </w:r>
    </w:p>
    <w:p>
      <w:pPr>
        <w:pStyle w:val="ListBullet"/>
        <w:spacing w:after="40"/>
      </w:pPr>
      <w:r>
        <w:rPr>
          <w:rFonts w:ascii="Calibri" w:hAnsi="Calibri"/>
          <w:b w:val="0"/>
          <w:i w:val="0"/>
          <w:color w:val="000000"/>
          <w:sz w:val="20"/>
        </w:rPr>
        <w:t>Finalisation of site-specific technical designs (SCADA, SLD, MV/LV configuration);</w:t>
      </w:r>
    </w:p>
    <w:p>
      <w:pPr>
        <w:pStyle w:val="ListBullet"/>
        <w:spacing w:after="40"/>
      </w:pPr>
      <w:r>
        <w:rPr>
          <w:rFonts w:ascii="Calibri" w:hAnsi="Calibri"/>
          <w:b w:val="0"/>
          <w:i w:val="0"/>
          <w:color w:val="000000"/>
          <w:sz w:val="20"/>
        </w:rPr>
        <w:t>Agreement on final pricing based on the prevailing Lighthief group-order schedule.</w:t>
      </w:r>
    </w:p>
    <w:p/>
    <w:p>
      <w:pPr>
        <w:spacing w:before="280" w:after="80"/>
      </w:pPr>
      <w:r>
        <w:rPr>
          <w:rFonts w:ascii="Calibri" w:hAnsi="Calibri"/>
          <w:b/>
          <w:color w:val="C9A432"/>
          <w:sz w:val="28"/>
        </w:rPr>
        <w:t>4.  Commercial Framework</w:t>
      </w:r>
    </w:p>
    <w:p>
      <w:pPr>
        <w:spacing w:after="120"/>
      </w:pPr>
      <w:r>
        <w:rPr>
          <w:rFonts w:ascii="Calibri" w:hAnsi="Calibri"/>
          <w:b w:val="0"/>
          <w:i w:val="0"/>
          <w:color w:val="000000"/>
          <w:sz w:val="20"/>
        </w:rPr>
        <w:t>Each EPC Agreement shall be executed on the following standard terms (indicative, subject to final contract negotiation):</w:t>
      </w:r>
    </w:p>
    <w:p>
      <w:pPr>
        <w:pStyle w:val="ListBullet"/>
        <w:spacing w:after="40"/>
      </w:pPr>
      <w:r>
        <w:rPr>
          <w:rFonts w:ascii="Calibri" w:hAnsi="Calibri"/>
          <w:b w:val="0"/>
          <w:i w:val="0"/>
          <w:color w:val="000000"/>
          <w:sz w:val="20"/>
        </w:rPr>
        <w:t>30% advance payment upon contract signature / on or after 1 April 2026 (or applicable batch start date);</w:t>
      </w:r>
    </w:p>
    <w:p>
      <w:pPr>
        <w:pStyle w:val="ListBullet"/>
        <w:spacing w:after="40"/>
      </w:pPr>
      <w:r>
        <w:rPr>
          <w:rFonts w:ascii="Calibri" w:hAnsi="Calibri"/>
          <w:b w:val="0"/>
          <w:i w:val="0"/>
          <w:color w:val="000000"/>
          <w:sz w:val="20"/>
        </w:rPr>
        <w:t>55% pre-shipment milestone (confirmed FAT / ex-works despatch);</w:t>
      </w:r>
    </w:p>
    <w:p>
      <w:pPr>
        <w:pStyle w:val="ListBullet"/>
        <w:spacing w:after="40"/>
      </w:pPr>
      <w:r>
        <w:rPr>
          <w:rFonts w:ascii="Calibri" w:hAnsi="Calibri"/>
          <w:b w:val="0"/>
          <w:i w:val="0"/>
          <w:color w:val="000000"/>
          <w:sz w:val="20"/>
        </w:rPr>
        <w:t>10% at PAC (Provisional Acceptance Certificate);</w:t>
      </w:r>
    </w:p>
    <w:p>
      <w:pPr>
        <w:pStyle w:val="ListBullet"/>
        <w:spacing w:after="40"/>
      </w:pPr>
      <w:r>
        <w:rPr>
          <w:rFonts w:ascii="Calibri" w:hAnsi="Calibri"/>
          <w:b w:val="0"/>
          <w:i w:val="0"/>
          <w:color w:val="000000"/>
          <w:sz w:val="20"/>
        </w:rPr>
        <w:t>5% retention released after 24-month Defect Liability Period (DLP).</w:t>
      </w:r>
    </w:p>
    <w:p>
      <w:pPr>
        <w:spacing w:after="200"/>
      </w:pPr>
      <w:r>
        <w:rPr>
          <w:rFonts w:ascii="Calibri" w:hAnsi="Calibri"/>
          <w:b w:val="0"/>
          <w:i w:val="0"/>
          <w:color w:val="000000"/>
          <w:sz w:val="20"/>
        </w:rPr>
        <w:t>Pricing shown is indicative based on Quotation LY202511281 (group-order rate). Final batch pricing will be agreed in writing no later than 60 days prior to the target EPC signature date for each phase.</w:t>
      </w:r>
    </w:p>
    <w:p>
      <w:pPr>
        <w:spacing w:before="280" w:after="80"/>
      </w:pPr>
      <w:r>
        <w:rPr>
          <w:rFonts w:ascii="Calibri" w:hAnsi="Calibri"/>
          <w:b/>
          <w:color w:val="C9A432"/>
          <w:sz w:val="28"/>
        </w:rPr>
        <w:t>5.  LTSA Framework</w:t>
      </w:r>
    </w:p>
    <w:p>
      <w:pPr>
        <w:spacing w:after="120"/>
      </w:pPr>
      <w:r>
        <w:rPr>
          <w:rFonts w:ascii="Calibri" w:hAnsi="Calibri"/>
          <w:b w:val="0"/>
          <w:i w:val="0"/>
          <w:color w:val="000000"/>
          <w:sz w:val="20"/>
        </w:rPr>
        <w:t>The Client confirms its intention to enter into a Long-Term Service Agreement (LTSA) covering all Esperia Energy and Galascope parks. The LTSA framework shall:</w:t>
      </w:r>
    </w:p>
    <w:p>
      <w:pPr>
        <w:pStyle w:val="ListBullet"/>
        <w:spacing w:after="40"/>
      </w:pPr>
      <w:r>
        <w:rPr>
          <w:rFonts w:ascii="Calibri" w:hAnsi="Calibri"/>
          <w:b w:val="0"/>
          <w:i w:val="0"/>
          <w:color w:val="000000"/>
          <w:sz w:val="20"/>
        </w:rPr>
        <w:t>Commence for each park from its respective PAC date;</w:t>
      </w:r>
    </w:p>
    <w:p>
      <w:pPr>
        <w:pStyle w:val="ListBullet"/>
        <w:spacing w:after="40"/>
      </w:pPr>
      <w:r>
        <w:rPr>
          <w:rFonts w:ascii="Calibri" w:hAnsi="Calibri"/>
          <w:b w:val="0"/>
          <w:i w:val="0"/>
          <w:color w:val="000000"/>
          <w:sz w:val="20"/>
        </w:rPr>
        <w:t>Apply a group-level 97% availability guarantee calculated across all Esperia/Galascope active parks;</w:t>
      </w:r>
    </w:p>
    <w:p>
      <w:pPr>
        <w:pStyle w:val="ListBullet"/>
        <w:spacing w:after="40"/>
      </w:pPr>
      <w:r>
        <w:rPr>
          <w:rFonts w:ascii="Calibri" w:hAnsi="Calibri"/>
          <w:b w:val="0"/>
          <w:i w:val="0"/>
          <w:color w:val="000000"/>
          <w:sz w:val="20"/>
        </w:rPr>
        <w:t>Accumulate parks into the availability calculation progressively as each is commissioned;</w:t>
      </w:r>
    </w:p>
    <w:p>
      <w:pPr>
        <w:pStyle w:val="ListBullet"/>
        <w:spacing w:after="40"/>
      </w:pPr>
      <w:r>
        <w:rPr>
          <w:rFonts w:ascii="Calibri" w:hAnsi="Calibri"/>
          <w:b w:val="0"/>
          <w:i w:val="0"/>
          <w:color w:val="000000"/>
          <w:sz w:val="20"/>
        </w:rPr>
        <w:t>Be priced on a per-MWh per-year basis in accordance with the agreed LTSA pricing schedule (Tier C or as separately agreed).</w:t>
      </w:r>
    </w:p>
    <w:p/>
    <w:p>
      <w:pPr>
        <w:spacing w:before="280" w:after="80"/>
      </w:pPr>
      <w:r>
        <w:rPr>
          <w:rFonts w:ascii="Calibri" w:hAnsi="Calibri"/>
          <w:b/>
          <w:color w:val="C9A432"/>
          <w:sz w:val="28"/>
        </w:rPr>
        <w:t>6.  Purpose of this LOI</w:t>
      </w:r>
    </w:p>
    <w:p>
      <w:pPr>
        <w:spacing w:after="120"/>
      </w:pPr>
      <w:r>
        <w:rPr>
          <w:rFonts w:ascii="Calibri" w:hAnsi="Calibri"/>
          <w:b w:val="0"/>
          <w:i w:val="0"/>
          <w:color w:val="000000"/>
          <w:sz w:val="20"/>
        </w:rPr>
        <w:t>This LOI is provided to Lighthief Cyprus Ltd to:</w:t>
      </w:r>
    </w:p>
    <w:p>
      <w:pPr>
        <w:pStyle w:val="ListBullet"/>
        <w:spacing w:after="40"/>
      </w:pPr>
      <w:r>
        <w:rPr>
          <w:rFonts w:ascii="Calibri" w:hAnsi="Calibri"/>
          <w:b w:val="0"/>
          <w:i w:val="0"/>
          <w:color w:val="000000"/>
          <w:sz w:val="20"/>
        </w:rPr>
        <w:t>Confirm the Client's commitment to the full Esperia Energy BESS portfolio beyond the Galascope EPC;</w:t>
      </w:r>
    </w:p>
    <w:p>
      <w:pPr>
        <w:pStyle w:val="ListBullet"/>
        <w:spacing w:after="40"/>
      </w:pPr>
      <w:r>
        <w:rPr>
          <w:rFonts w:ascii="Calibri" w:hAnsi="Calibri"/>
          <w:b w:val="0"/>
          <w:i w:val="0"/>
          <w:color w:val="000000"/>
          <w:sz w:val="20"/>
        </w:rPr>
        <w:t>Support Lighthief's procurement planning with its OEM equipment supplier (Linyang) for pipeline batches;</w:t>
      </w:r>
    </w:p>
    <w:p>
      <w:pPr>
        <w:pStyle w:val="ListBullet"/>
        <w:spacing w:after="40"/>
      </w:pPr>
      <w:r>
        <w:rPr>
          <w:rFonts w:ascii="Calibri" w:hAnsi="Calibri"/>
          <w:b w:val="0"/>
          <w:i w:val="0"/>
          <w:color w:val="000000"/>
          <w:sz w:val="20"/>
        </w:rPr>
        <w:t>Evidence the pipeline for project financing, insurance, and DSO pre-application purposes;</w:t>
      </w:r>
    </w:p>
    <w:p>
      <w:pPr>
        <w:pStyle w:val="ListBullet"/>
        <w:spacing w:after="40"/>
      </w:pPr>
      <w:r>
        <w:rPr>
          <w:rFonts w:ascii="Calibri" w:hAnsi="Calibri"/>
          <w:b w:val="0"/>
          <w:i w:val="0"/>
          <w:color w:val="000000"/>
          <w:sz w:val="20"/>
        </w:rPr>
        <w:t>Establish the basis for the group-level LTSA framework across the full Esperia / Galascope portfolio.</w:t>
      </w:r>
    </w:p>
    <w:p/>
    <w:tbl>
      <w:tblPr>
        <w:jc w:val="left"/>
        <w:tblLook w:firstColumn="1" w:firstRow="1" w:lastColumn="0" w:lastRow="0" w:noHBand="0" w:noVBand="1" w:val="04A0"/>
        <w:tblW w:w="7938" w:type="dxa"/>
        <w:tblLayout w:type="fixed"/>
      </w:tblPr>
      <w:tblGrid>
        <w:gridCol w:w="7938"/>
      </w:tblGrid>
      <w:tr>
        <w:tc>
          <w:tcPr>
            <w:shd w:val="clear" w:color="auto" w:fill="FEF3C7"/>
            <w:vAlign w:val="center"/>
            <w:tcW w:w="7938" w:type="dxa"/>
          </w:tcPr>
          <w:p>
            <w:pPr>
              <w:spacing w:before="120" w:after="120"/>
            </w:pPr>
            <w:r>
              <w:rPr>
                <w:rFonts w:ascii="Calibri" w:hAnsi="Calibri"/>
                <w:b/>
                <w:i w:val="0"/>
                <w:color w:val="92400E"/>
                <w:sz w:val="18"/>
              </w:rPr>
              <w:t xml:space="preserve">Non-Binding Statement: </w:t>
            </w:r>
            <w:r>
              <w:rPr>
                <w:rFonts w:ascii="Calibri" w:hAnsi="Calibri"/>
                <w:b w:val="0"/>
                <w:i w:val="0"/>
                <w:color w:val="78350F"/>
                <w:sz w:val="18"/>
              </w:rPr>
              <w:t>This LOI is a statement of intent and does not constitute a binding obligation to execute EPC Agreements for future phases. The binding commitment for the Galascope portfolio is contained solely in the EPC Agreement executed concurrently. Future phase EPC Agreements will be executed separately upon mutual written agreement of both parties.</w:t>
            </w:r>
          </w:p>
        </w:tc>
      </w:tr>
    </w:tbl>
    <w:p/>
    <w:p>
      <w:pPr>
        <w:spacing w:before="280" w:after="80"/>
      </w:pPr>
      <w:r>
        <w:rPr>
          <w:rFonts w:ascii="Calibri" w:hAnsi="Calibri"/>
          <w:b/>
          <w:color w:val="C9A432"/>
          <w:sz w:val="28"/>
        </w:rPr>
        <w:t>7.  Signatures</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pPr>
              <w:spacing w:before="80" w:after="80"/>
            </w:pPr>
            <w:r>
              <w:rPr>
                <w:rFonts w:ascii="Calibri" w:hAnsi="Calibri"/>
                <w:b/>
                <w:i w:val="0"/>
                <w:color w:val="FFFFFF"/>
                <w:sz w:val="20"/>
              </w:rPr>
              <w:t>For Lighthief Cyprus Ltd</w:t>
            </w:r>
          </w:p>
        </w:tc>
        <w:tc>
          <w:tcPr>
            <w:shd w:val="clear" w:color="auto" w:fill="1A365D"/>
            <w:tcW w:w="3969" w:type="dxa"/>
          </w:tcPr>
          <w:p>
            <w:pPr>
              <w:spacing w:before="80" w:after="80"/>
            </w:pPr>
            <w:r>
              <w:rPr>
                <w:rFonts w:ascii="Calibri" w:hAnsi="Calibri"/>
                <w:b/>
                <w:i w:val="0"/>
                <w:color w:val="FFFFFF"/>
                <w:sz w:val="20"/>
              </w:rPr>
              <w:t>For the Client</w:t>
            </w:r>
          </w:p>
        </w:tc>
      </w:tr>
      <w:tr>
        <w:tc>
          <w:tcPr>
            <w:tcW w:w="3969" w:type="dxa"/>
          </w:tcPr>
          <w:p>
            <w:pPr>
              <w:spacing w:before="160" w:after="160"/>
            </w:pPr>
            <w:r>
              <w:rPr>
                <w:rFonts w:ascii="Calibri" w:hAnsi="Calibri"/>
                <w:b w:val="0"/>
                <w:i w:val="0"/>
                <w:color w:val="000000"/>
                <w:sz w:val="20"/>
              </w:rPr>
              <w:t>Name:  Alexander Papacosta</w:t>
              <w:br/>
              <w:t>Title:   Managing Director</w:t>
            </w:r>
          </w:p>
        </w:tc>
        <w:tc>
          <w:tcPr>
            <w:tcW w:w="3969" w:type="dxa"/>
          </w:tcPr>
          <w:p>
            <w:pPr>
              <w:spacing w:before="160" w:after="160"/>
            </w:pPr>
            <w:r>
              <w:rPr>
                <w:rFonts w:ascii="Calibri" w:hAnsi="Calibri"/>
                <w:b w:val="0"/>
                <w:i w:val="0"/>
                <w:color w:val="000000"/>
                <w:sz w:val="20"/>
              </w:rPr>
              <w:t>Name:  ___________________________</w:t>
              <w:br/>
              <w:t>Title:    ___________________________</w:t>
            </w:r>
          </w:p>
        </w:tc>
      </w:tr>
      <w:tr>
        <w:tc>
          <w:tcPr>
            <w:tcW w:w="3969" w:type="dxa"/>
          </w:tcPr>
          <w:p>
            <w:pPr>
              <w:spacing w:before="160" w:after="160"/>
            </w:pPr>
            <w:r>
              <w:rPr>
                <w:rFonts w:ascii="Calibri" w:hAnsi="Calibri"/>
                <w:b w:val="0"/>
                <w:i w:val="0"/>
                <w:color w:val="000000"/>
                <w:sz w:val="20"/>
              </w:rPr>
              <w:t>Signature:  ___________________________</w:t>
            </w:r>
          </w:p>
        </w:tc>
        <w:tc>
          <w:tcPr>
            <w:tcW w:w="3969" w:type="dxa"/>
          </w:tcPr>
          <w:p>
            <w:pPr>
              <w:spacing w:before="160" w:after="160"/>
            </w:pPr>
            <w:r>
              <w:rPr>
                <w:rFonts w:ascii="Calibri" w:hAnsi="Calibri"/>
                <w:b w:val="0"/>
                <w:i w:val="0"/>
                <w:color w:val="000000"/>
                <w:sz w:val="20"/>
              </w:rPr>
              <w:t>Signature:  ___________________________</w:t>
            </w:r>
          </w:p>
        </w:tc>
      </w:tr>
      <w:tr>
        <w:tc>
          <w:tcPr>
            <w:tcW w:w="3969" w:type="dxa"/>
          </w:tcPr>
          <w:p>
            <w:pPr>
              <w:spacing w:before="160" w:after="160"/>
            </w:pPr>
            <w:r>
              <w:rPr>
                <w:rFonts w:ascii="Calibri" w:hAnsi="Calibri"/>
                <w:b w:val="0"/>
                <w:i w:val="0"/>
                <w:color w:val="000000"/>
                <w:sz w:val="20"/>
              </w:rPr>
              <w:t>Date:  ___________________________</w:t>
            </w:r>
          </w:p>
        </w:tc>
        <w:tc>
          <w:tcPr>
            <w:tcW w:w="3969" w:type="dxa"/>
          </w:tcPr>
          <w:p>
            <w:pPr>
              <w:spacing w:before="160" w:after="160"/>
            </w:pPr>
            <w:r>
              <w:rPr>
                <w:rFonts w:ascii="Calibri" w:hAnsi="Calibri"/>
                <w:b w:val="0"/>
                <w:i w:val="0"/>
                <w:color w:val="000000"/>
                <w:sz w:val="20"/>
              </w:rPr>
              <w:t>Date:  ___________________________</w:t>
            </w:r>
          </w:p>
        </w:tc>
      </w:tr>
    </w:tbl>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