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rPr>
          <w:color w:val="718096"/>
          <w:sz w:val="17"/>
        </w:rPr>
        <w:t>Document Reference: LCY-EPC-SPA-2026</w:t>
        <w:br/>
      </w:r>
      <w:r>
        <w:rPr>
          <w:color w:val="718096"/>
          <w:sz w:val="17"/>
        </w:rPr>
        <w:t>Version: 5.0</w:t>
        <w:br/>
      </w:r>
      <w:r>
        <w:rPr>
          <w:color w:val="718096"/>
          <w:sz w:val="17"/>
        </w:rPr>
        <w:t>Date: May 2026</w:t>
        <w:br/>
      </w:r>
      <w:r>
        <w:rPr>
          <w:color w:val="718096"/>
          <w:sz w:val="17"/>
        </w:rPr>
        <w:br/>
      </w:r>
      <w:r>
        <w:rPr>
          <w:color w:val="718096"/>
          <w:sz w:val="17"/>
        </w:rPr>
        <w:t>VERSION HISTORY</w:t>
        <w:br/>
      </w:r>
      <w:r>
        <w:rPr>
          <w:color w:val="718096"/>
          <w:sz w:val="17"/>
        </w:rPr>
        <w:t>v1.0 — Oct 2025: Initial draft</w:t>
        <w:br/>
      </w:r>
      <w:r>
        <w:rPr>
          <w:color w:val="718096"/>
          <w:sz w:val="17"/>
        </w:rPr>
        <w:t>v2.0 — Jan 2026: Linyang RFI confirmed terms</w:t>
        <w:br/>
      </w:r>
      <w:r>
        <w:rPr>
          <w:color w:val="718096"/>
          <w:sz w:val="17"/>
        </w:rPr>
        <w:t>v3.0 — 22 Feb 2026: Installation scope, delay LD framework, bankability</w:t>
        <w:br/>
      </w:r>
      <w:r>
        <w:rPr>
          <w:color w:val="718096"/>
          <w:sz w:val="17"/>
        </w:rPr>
        <w:t>v4.0 — 17 Mar 2026: Single counterparty warranty, title at PAC, unified warranty, lender assignment</w:t>
        <w:br/>
      </w:r>
      <w:r>
        <w:rPr>
          <w:b/>
          <w:color w:val="718096"/>
          <w:sz w:val="17"/>
        </w:rPr>
        <w:t>v5.0 — 6 May 2026: FINAL BANKABLE VERSION — two-component price split,</w:t>
        <w:br/>
      </w:r>
      <w:r>
        <w:rPr>
          <w:color w:val="718096"/>
          <w:sz w:val="17"/>
        </w:rPr>
        <w:t xml:space="preserve">       APG on equipment only, 3-month retention release (no FAC),</w:t>
        <w:br/>
      </w:r>
      <w:r>
        <w:rPr>
          <w:color w:val="718096"/>
          <w:sz w:val="17"/>
        </w:rPr>
        <w:t xml:space="preserve">       tiered liability cap (10%/50%/uncapped), pro-rata refund on termination,</w:t>
        <w:br/>
      </w:r>
      <w:r>
        <w:rPr>
          <w:color w:val="718096"/>
          <w:sz w:val="17"/>
        </w:rPr>
        <w:t xml:space="preserve">       RTE hard floor clarified, warranty void carve-outs, all Anastasis v4.0 comments addressed</w:t>
        <w:br/>
      </w:r>
    </w:p>
    <w:p>
      <w:r>
        <w:br w:type="page"/>
      </w:r>
    </w:p>
    <w:p>
      <w:pPr>
        <w:spacing w:before="320"/>
      </w:pPr>
      <w:r>
        <w:rPr>
          <w:b/>
          <w:color w:val="1A365D"/>
          <w:sz w:val="24"/>
        </w:rPr>
        <w:t>1. PARTIES</w:t>
      </w:r>
    </w:p>
    <w:p>
      <w:r>
        <w:rPr>
          <w:b w:val="0"/>
          <w:sz w:val="20"/>
        </w:rPr>
        <w:t>This Engineering, Procurement and Construction Agreement (“Agreement”) is made as of [●] 2026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Spanercom Ltd, a company incorporated under the laws of the Republic of Cyprus, with registered office at Stasikratous 32, Charalambous Tower, Floor 6, Flat/Office 603, 1065 Nicosia, Cyprus, Registration No. HE 396638 ("Client").</w:t>
      </w:r>
    </w:p>
    <w:p>
      <w:r>
        <w:rPr>
          <w:b w:val="0"/>
          <w:sz w:val="20"/>
        </w:rPr>
        <w:t>Contractor and Client are referred to individually as a “Party” and collectively as the “Parties.”</w:t>
      </w:r>
    </w:p>
    <w:p>
      <w:pPr>
        <w:spacing w:before="320"/>
      </w:pPr>
      <w:r>
        <w:rPr>
          <w:b/>
          <w:color w:val="1A365D"/>
          <w:sz w:val="24"/>
        </w:rPr>
        <w:t>1A. CONDITIONS PRECEDENT</w:t>
      </w:r>
    </w:p>
    <w:p>
      <w:r>
        <w:rPr>
          <w:b w:val="0"/>
          <w:sz w:val="20"/>
        </w:rPr>
        <w:t>1A.1 This Agreement is conditional upon the Client obtaining grid connection terms from EAC/DSO for the Site (“Connection Terms”) within [●] months of the Effective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rPr>
          <w:b w:val="0"/>
          <w:sz w:val="20"/>
        </w:rPr>
        <w:t>1A.3 The advance payment under Section 7.1(a) shall become due within seven (7) days of the later of: (i) the Effective Date; and (ii) receipt of Connection Terms.</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has the meaning given in Section 1.</w:t>
      </w:r>
    </w:p>
    <w:p>
      <w:r>
        <w:rPr>
          <w:b/>
          <w:sz w:val="20"/>
        </w:rPr>
        <w:t xml:space="preserve">"EMS" </w:t>
      </w:r>
      <w:r>
        <w:rPr>
          <w:sz w:val="20"/>
        </w:rPr>
        <w:t>means Energy Management System. EMS integration is provided by Lighthief EU BESS Ltd under a separate EMS Integration Agreement, guaranteed by the Contractor per Section 4.4.</w:t>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r>
        <w:rPr>
          <w:b/>
          <w:sz w:val="20"/>
        </w:rPr>
        <w:t xml:space="preserve">"Retention" </w:t>
      </w:r>
      <w:r>
        <w:rPr>
          <w:sz w:val="20"/>
        </w:rPr>
        <w:t>means five percent (5%) of the Contract Price withheld by the Client and released at the end of the Defects Liability Period per Section 7.4.</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Lighthief EU BESS Ltd, an affiliate of the Contractor, under a separate EMS Integration Agreement.</w:t>
      </w:r>
    </w:p>
    <w:p>
      <w:r>
        <w:rPr>
          <w:b/>
          <w:sz w:val="20"/>
        </w:rPr>
        <w:t>(b) The Contractor hereby guarantees the performance of Lighthief EU BESS Ltd’s obligations under the EMS Integration Agreement. If Lighthief EU BESS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r>
        <w:rPr>
          <w:b w:val="0"/>
          <w:sz w:val="20"/>
        </w:rPr>
        <w:t>4.5 Any works not expressly listed are excluded unless agreed in writing.</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w:t>
      </w:r>
    </w:p>
    <w:p>
      <w:pPr>
        <w:ind w:left="567"/>
      </w:pPr>
      <w:r>
        <w:rPr>
          <w:sz w:val="20"/>
        </w:rPr>
        <w:t>(e) Provide electrical connection point and grid connection approval.</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w:t>
      </w:r>
    </w:p>
    <w:p>
      <w:pPr>
        <w:ind w:left="567"/>
      </w:pPr>
      <w:r>
        <w:rPr>
          <w:sz w:val="20"/>
        </w:rPr>
        <w:t>(b) Maintain monitoring systems;</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+ 8%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320"/>
      </w:pPr>
      <w:r>
        <w:rPr>
          <w:b/>
          <w:color w:val="1A365D"/>
          <w:sz w:val="24"/>
        </w:rPr>
        <w:t>6. CONTRACT PRICE</w:t>
      </w:r>
    </w:p>
    <w:p>
      <w:r>
        <w:rPr>
          <w:b w:val="0"/>
          <w:sz w:val="20"/>
        </w:rPr>
        <w:t>6.1 The total contract price (“Contract Price”) is the sum of Component A and Component B as set out in Sections 6.2 and 6.3, exclusive of VAT. All milestone percentages in Section 7.1 are calculated on the Contract Price exclusive of VAT. VAT shall be added to each invoice in accordance with Cyprus law.</w:t>
      </w:r>
    </w:p>
    <w:p>
      <w:pPr>
        <w:spacing w:before="200"/>
      </w:pPr>
      <w:r>
        <w:rPr>
          <w:b/>
          <w:color w:val="1A365D"/>
          <w:sz w:val="21"/>
        </w:rPr>
        <w:t>6.2 Component A — Equipment Supply Price</w:t>
      </w:r>
    </w:p>
    <w:p>
      <w:r>
        <w:rPr>
          <w:b w:val="0"/>
          <w:sz w:val="20"/>
        </w:rPr>
        <w:t>EUR [●]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rPr>
          <w:b/>
          <w:color w:val="1A365D"/>
          <w:sz w:val="21"/>
        </w:rPr>
        <w:t>6.3 Component B — EPC Services Price</w:t>
      </w:r>
    </w:p>
    <w:p>
      <w:r>
        <w:rPr>
          <w:b w:val="0"/>
          <w:sz w:val="20"/>
        </w:rPr>
        <w:t>EUR [●]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Effective Date entitle the Parties to agree a variation by written change order.</w:t>
      </w:r>
    </w:p>
    <w:p>
      <w:pPr>
        <w:spacing w:before="320"/>
      </w:pPr>
      <w:r>
        <w:rPr>
          <w:b/>
          <w:color w:val="1A365D"/>
          <w:sz w:val="24"/>
        </w:rPr>
        <w:t>7. PAYMENT TERMS</w:t>
      </w:r>
    </w:p>
    <w:p>
      <w:pPr>
        <w:spacing w:before="200"/>
      </w:pPr>
      <w:r>
        <w:rPr>
          <w:b/>
          <w:color w:val="1A365D"/>
          <w:sz w:val="21"/>
        </w:rPr>
        <w:t>7.1 Payment Milestones</w:t>
      </w:r>
    </w:p>
    <w:p>
      <w:r>
        <w:rPr>
          <w:b w:val="0"/>
          <w:sz w:val="20"/>
        </w:rPr>
        <w:t>Payments shall be made by bank transfer as follows:</w:t>
      </w:r>
    </w:p>
    <w:p>
      <w:r>
        <w:rPr>
          <w:b w:val="0"/>
          <w:sz w:val="20"/>
        </w:rPr>
        <w:t>(a) 30% advance payment within seven (7) days of the payment trigger under Section 1A.3;</w:t>
      </w:r>
    </w:p>
    <w:p>
      <w:r>
        <w:rPr>
          <w:b w:val="0"/>
          <w:sz w:val="20"/>
        </w:rPr>
        <w:t>(b) 55% payment prior to shipment of BESS equipment, upon Contractor’s written confirmation of successful Factory Acceptance Testing (FAT) and photographic evidence of readiness;</w:t>
      </w:r>
    </w:p>
    <w:p>
      <w:r>
        <w:rPr>
          <w:b w:val="0"/>
          <w:sz w:val="20"/>
        </w:rPr>
        <w:t>(c) 10% payment upon issuance of PAC;</w:t>
      </w:r>
    </w:p>
    <w:p>
      <w:r>
        <w:rPr>
          <w:b w:val="0"/>
          <w:sz w:val="20"/>
        </w:rPr>
        <w:t>(d) 5% Retention released at the end of the Defects Liability Period (three (3) months after PAC), subject to Section 7.4.</w:t>
      </w:r>
    </w:p>
    <w:p>
      <w:r>
        <w:rPr>
          <w:b w:val="0"/>
          <w:sz w:val="20"/>
        </w:rPr>
        <w:t>7.2 Payments exclusive of VAT.</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r>
        <w:rPr>
          <w:b w:val="0"/>
          <w:sz w:val="20"/>
        </w:rPr>
        <w:t>(b) Retention shall be released within thirty (30) days of the end of the Defects Liability Period (three (3) months after PAC).</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upon issuance of PAC and receipt of the PAC payment under Section 7.1(c).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r>
        <w:rPr>
          <w:b w:val="0"/>
          <w:sz w:val="20"/>
        </w:rPr>
        <w:t>8.1 Equipment supply CIF Limassol, Cyprus (Incoterms® 2020).</w:t>
      </w:r>
    </w:p>
    <w:p>
      <w:r>
        <w:rPr>
          <w:b w:val="0"/>
          <w:sz w:val="20"/>
        </w:rPr>
        <w:t>8.2 Installation commences upon site readiness and delivery.</w:t>
      </w:r>
    </w:p>
    <w:p>
      <w:r>
        <w:rPr>
          <w:b w:val="0"/>
          <w:sz w:val="20"/>
        </w:rPr>
        <w:t>8.3 Typical installation period: 4–6 weeks.</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rPr>
          <w:b w:val="0"/>
          <w:sz w:val="20"/>
        </w:rPr>
        <w:t>(g) "LD Value" — Full Park: total Contract Price. Partial: Contract Price × Affected Capacity %.</w:t>
      </w:r>
    </w:p>
    <w:p>
      <w:pPr>
        <w:spacing w:before="200"/>
      </w:pPr>
      <w:r>
        <w:rPr>
          <w:b/>
          <w:color w:val="1A365D"/>
          <w:sz w:val="21"/>
        </w:rPr>
        <w:t>8.4.2 Obligation</w:t>
      </w:r>
    </w:p>
    <w:p>
      <w:r>
        <w:rPr>
          <w:b w:val="0"/>
          <w:sz w:val="20"/>
        </w:rPr>
        <w:t>Contractor shall achieve PAC by Target PAC Date.</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Schedule B for worked examples.</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rPr>
          <w:b/>
          <w:color w:val="1A365D"/>
          <w:sz w:val="21"/>
        </w:rPr>
        <w:t>8.4.6 Exclusions</w:t>
      </w:r>
    </w:p>
    <w:p>
      <w:r>
        <w:rPr>
          <w:b w:val="0"/>
          <w:sz w:val="20"/>
        </w:rPr>
        <w:t>LDs not applicable for: (i) Force Majeure; (ii) Client-caused delays; (iii) grid authority delays; (iv) Client change orders; (v) customs delays with timely shipment proved; (vi) Client’s late confirmation of technical agreements or drawings.</w:t>
      </w:r>
    </w:p>
    <w:p>
      <w:pPr>
        <w:spacing w:before="200"/>
      </w:pPr>
      <w:r>
        <w:rPr>
          <w:b/>
          <w:color w:val="1A365D"/>
          <w:sz w:val="21"/>
        </w:rPr>
        <w:t>8.4.7 Extension of Time</w:t>
      </w:r>
    </w:p>
    <w:p>
      <w:r>
        <w:rPr>
          <w:b w:val="0"/>
          <w:sz w:val="20"/>
        </w:rPr>
        <w:t>Target PAC Date extends day-for-day. Contractor notifies within seven (7) Business Days.</w:t>
      </w:r>
    </w:p>
    <w:p>
      <w:pPr>
        <w:spacing w:before="320"/>
      </w:pPr>
      <w:r>
        <w:rPr>
          <w:b/>
          <w:color w:val="1A365D"/>
          <w:sz w:val="24"/>
        </w:rPr>
        <w:t>9. ACCEPTANCE</w:t>
      </w:r>
    </w:p>
    <w:p>
      <w:pPr>
        <w:spacing w:before="200"/>
      </w:pPr>
      <w:r>
        <w:rPr>
          <w:b/>
          <w:color w:val="1A365D"/>
          <w:sz w:val="21"/>
        </w:rPr>
        <w:t>9.1 Provisional Acceptance (PAC)</w:t>
      </w:r>
    </w:p>
    <w:p>
      <w:r>
        <w:rPr>
          <w:b w:val="0"/>
          <w:sz w:val="20"/>
        </w:rPr>
        <w:t>PAC shall be issued when the following criteria are met:</w:t>
      </w:r>
    </w:p>
    <w:p>
      <w:pPr>
        <w:ind w:left="567"/>
      </w:pPr>
      <w:r>
        <w:rPr>
          <w:sz w:val="20"/>
        </w:rPr>
        <w:t>(a) The BESS operates at not less than 95% of rated energy capacity;</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There is no Final Acceptance Certificate. Retention is released automatically at the end of the Defects Liability Period subject to Section 7.4(c).</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w:t>
      </w:r>
    </w:p>
    <w:p>
      <w:pPr>
        <w:ind w:left="850"/>
      </w:pPr>
      <w:r>
        <w:rPr>
          <w:sz w:val="20"/>
        </w:rPr>
        <w:t>(iii) any Force Majeure event; or</w:t>
      </w:r>
    </w:p>
    <w:p>
      <w:pPr>
        <w:ind w:left="850"/>
      </w:pPr>
      <w:r>
        <w:rPr>
          <w:sz w:val="20"/>
        </w:rPr>
        <w:t>(iv) failure by the Contractor to provide a monitoring alert under an LTSA with 24/7 monitoring (Tier A or above), where such alert would have enabled the Client to prevent the condition.</w:t>
      </w:r>
    </w:p>
    <w:p>
      <w:r>
        <w:rPr>
          <w:b w:val="0"/>
          <w:sz w:val="20"/>
        </w:rPr>
        <w:t>Where the Client has entered into an LTSA with 24/7 monitoring (Tier A+), the Contractor shall alert the Client within 24 hours of SOC dropping below 10%.</w:t>
      </w:r>
    </w:p>
    <w:p>
      <w:pPr>
        <w:spacing w:before="200"/>
      </w:pPr>
      <w:r>
        <w:rPr>
          <w:b/>
          <w:color w:val="1A365D"/>
          <w:sz w:val="21"/>
        </w:rPr>
        <w:t>10.6 Performance Guarantees</w:t>
      </w:r>
    </w:p>
    <w:p>
      <w:r>
        <w:rPr>
          <w:b w:val="0"/>
          <w:sz w:val="20"/>
        </w:rPr>
        <w:t>The Contractor guarantees (backed by OEM warranty):</w:t>
      </w:r>
    </w:p>
    <w:p>
      <w:r>
        <w:rPr>
          <w:b/>
          <w:sz w:val="20"/>
        </w:rPr>
        <w:t>(a) State of Health (SOH) at 1 cycle per day: Year 5 ≥85%, Year 10 ≥79.58%, Year 15 ≥70% (Year 15 subject to extended warranty under LTSA).</w:t>
      </w:r>
    </w:p>
    <w:p>
      <w:r>
        <w:rPr>
          <w:b/>
          <w:sz w:val="20"/>
        </w:rPr>
        <w:t>(b) Round-Trip Efficiency: ≥86.32% at 0.5C, 25±2°C. PAC field floor per Section 9.1.</w:t>
      </w:r>
    </w:p>
    <w:p>
      <w:r>
        <w:rPr>
          <w:b/>
          <w:sz w:val="20"/>
        </w:rPr>
        <w:t>(c) Cycle Life: 7,000 cycles at 0.5C, 90% DoD, to 70% EOL.</w:t>
      </w:r>
    </w:p>
    <w:p>
      <w:r>
        <w:rPr>
          <w:b w:val="0"/>
          <w:sz w:val="20"/>
        </w:rPr>
        <w:t>(d) Remedy: Contractor procures replacement modules from OEM at Contractor’s cost.</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r>
        <w:rPr>
          <w:b/>
          <w:sz w:val="20"/>
        </w:rPr>
        <w:t>(a) The Contractor shall procure that the OEM provides an unconditional, irrevocable Advance Payment Guarantee (APG) equal to the sum of the advance payment and pre-shipment payment made under Sections 7.1(a) and 7.1(b) in respect of Component A (Equipment Supply Price) only.</w:t>
      </w:r>
    </w:p>
    <w:p>
      <w:r>
        <w:rPr>
          <w:b w:val="0"/>
          <w:sz w:val="20"/>
        </w:rPr>
        <w:t>(b) The APG covers: 20% advance on Component A + 50% pre-shipment on Component A = 70% of the Component A Equipment Supply Price.</w:t>
      </w:r>
    </w:p>
    <w:p>
      <w:r>
        <w:rPr>
          <w:b w:val="0"/>
          <w:sz w:val="20"/>
        </w:rPr>
        <w:t>(c) The APG shall be delivered prior to the advance payment becoming due (condition precedent per Section 9B.4 of the upstream supply agreement).</w:t>
      </w:r>
    </w:p>
    <w:p>
      <w:r>
        <w:rPr>
          <w:b w:val="0"/>
          <w:sz w:val="20"/>
        </w:rPr>
        <w:t>(d) The APG shall remain valid until equipment delivery to Site plus thirty (30) days.</w:t>
      </w:r>
    </w:p>
    <w:p>
      <w:r>
        <w:rPr>
          <w:b w:val="0"/>
          <w:sz w:val="20"/>
        </w:rPr>
        <w:t>(e) No APG is required against Component B (EPC Services Price).</w:t>
      </w:r>
    </w:p>
    <w:p>
      <w:r>
        <w:rPr>
          <w:b w:val="0"/>
          <w:sz w:val="20"/>
        </w:rPr>
        <w:t>(f) The Contractor shall also procure that the OEM provides a performance bond equal to five percent (5%) of the Component A Equipment Supply Price, valid until the end of the Defects Liability Period (three (3) months after PAC), covering defects in materials and workmanship.</w:t>
      </w:r>
    </w:p>
    <w:p>
      <w:pPr>
        <w:spacing w:before="320"/>
      </w:pPr>
      <w:r>
        <w:rPr>
          <w:b/>
          <w:color w:val="1A365D"/>
          <w:sz w:val="24"/>
        </w:rPr>
        <w:t>11. LTSA SEPARATION</w:t>
      </w:r>
    </w:p>
    <w:p>
      <w:r>
        <w:rPr>
          <w:b w:val="0"/>
          <w:sz w:val="20"/>
        </w:rPr>
        <w:t>11.1 97% availability guarantee, availability LDs, and extended warranty (years 6–15) are not in this Agreement.</w:t>
      </w:r>
    </w:p>
    <w:p>
      <w:r>
        <w:rPr>
          <w:b w:val="0"/>
          <w:sz w:val="20"/>
        </w:rPr>
        <w:t>11.2 Apply only under a separately executed LTSA.</w:t>
      </w:r>
    </w:p>
    <w:p>
      <w:r>
        <w:rPr>
          <w:b w:val="0"/>
          <w:sz w:val="20"/>
        </w:rPr>
        <w:t>11.3 SOH, RTE, and cycle life guarantees (Section 10.6) are in this Agreement, independent of the LTSA.</w:t>
      </w:r>
    </w:p>
    <w:p>
      <w:r>
        <w:rPr>
          <w:b w:val="0"/>
          <w:sz w:val="20"/>
        </w:rPr>
        <w:t>11.4 This Agreement is intended to be executed alongside the LTSA (LCY-LTSA-SPA-2026) and the OEM Direct Warranty Undertaking (LCY-OEM-DWU-001 v1.0). The Parties intend to execute all three documents simultaneously.</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r>
        <w:rPr>
          <w:b/>
          <w:sz w:val="20"/>
        </w:rPr>
        <w:t>13.2 The Contractor’s total aggregate liability under this Agreement shall be subject to the following tiers, each calculated as a percentage of the Contract Price:</w:t>
      </w:r>
    </w:p>
    <w:p>
      <w:pPr>
        <w:ind w:left="567"/>
      </w:pPr>
      <w:r>
        <w:rPr>
          <w:sz w:val="20"/>
        </w:rPr>
        <w:t>(a) Warranty claims (defects in materials, workmanship, or OEM equipment): ten percent (10%) of the Contract Price;</w:t>
      </w:r>
    </w:p>
    <w:p>
      <w:pPr>
        <w:ind w:left="567"/>
      </w:pPr>
      <w:r>
        <w:rPr>
          <w:sz w:val="20"/>
        </w:rPr>
        <w:t>(b) All other contractual breaches (excluding warranty, fraud, wilful misconduct, and manufacturing defects): fifty percent (50%) of the Contract Price;</w:t>
      </w:r>
    </w:p>
    <w:p>
      <w:pPr>
        <w:ind w:left="567"/>
      </w:pPr>
      <w:r>
        <w:rPr>
          <w:sz w:val="20"/>
        </w:rPr>
        <w:t>(c) Fraud, wilful misconduct, and manufacturing defects in OEM equipment: uncapped.</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sz w:val="20"/>
        </w:rPr>
        <w:t>The Contractor shall provide insurance certificates or cover notes within fourteen (14) days of the first payment under Section 7.1(a).</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br w:type="page"/>
      </w:r>
    </w:p>
    <w:p>
      <w:pPr>
        <w:spacing w:before="320"/>
      </w:pPr>
      <w:r>
        <w:t xml:space="preserve">SCHEDULE A - TECHNICAL SPECIFICATIONS AND COMMERCIAL DETAILS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 xml:space="preserve">Ref: LCY-EPC-SPA-2026  |  v1.0  |  May 2026</w:t>
      </w:r>
    </w:p>
    <w:p>
      <w:r>
        <w:t xml:space="preserve"/>
      </w:r>
    </w:p>
    <w:p>
      <w:r>
        <w:t xml:space="preserve">=======================================================</w:t>
      </w:r>
    </w:p>
    <w:p>
      <w:r>
        <w:t xml:space="preserve">PART 1 - PARK DETAILS</w:t>
      </w:r>
    </w:p>
    <w:p>
      <w:r>
        <w:t xml:space="preserve">=======================================================</w:t>
      </w:r>
    </w:p>
    <w:p>
      <w:r>
        <w:t xml:space="preserve"/>
      </w:r>
    </w:p>
    <w:p>
      <w:r>
        <w:t xml:space="preserve">Park Name:           Anarita 1</w:t>
      </w:r>
    </w:p>
    <w:p>
      <w:r>
        <w:t xml:space="preserve">Site / District:     Paphos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5yr warranty)</w:t>
      </w:r>
    </w:p>
    <w:p>
      <w:r>
        <w:t xml:space="preserve"/>
      </w:r>
    </w:p>
    <w:p>
      <w:r>
        <w:t xml:space="preserve">  Component A (Equipment CIF):    EUR   1,848,712.43</w:t>
      </w:r>
    </w:p>
    <w:p>
      <w:r>
        <w:t xml:space="preserve">  Component B (EPC Services):     EUR     531,287.57</w:t>
      </w:r>
    </w:p>
    <w:p>
      <w:r>
        <w:t xml:space="preserve">  CONTRACT PRICE (A+B, ex VAT):   EUR   2,380,000.00</w:t>
      </w:r>
    </w:p>
    <w:p>
      <w:r>
        <w:t xml:space="preserve"/>
      </w:r>
    </w:p>
    <w:p>
      <w:r>
        <w:t xml:space="preserve">  APG (70% x Component A):        EUR   1,294,098.70</w:t>
      </w:r>
    </w:p>
    <w:p>
      <w:r>
        <w:t xml:space="preserve">  Perf Bond (5% x Comp A):        EUR      92,435.62</w:t>
      </w:r>
    </w:p>
    <w:p>
      <w:r>
        <w:t xml:space="preserve">-------------------------------------------------------</w:t>
      </w:r>
    </w:p>
    <w:p>
      <w:r>
        <w:t xml:space="preserve"/>
      </w:r>
    </w:p>
    <w:p>
      <w:r>
        <w:t xml:space="preserve">Park Name:           Anarita 2</w:t>
      </w:r>
    </w:p>
    <w:p>
      <w:r>
        <w:t xml:space="preserve">Site / District:     Paphos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5yr warranty)</w:t>
      </w:r>
    </w:p>
    <w:p>
      <w:r>
        <w:t xml:space="preserve"/>
      </w:r>
    </w:p>
    <w:p>
      <w:r>
        <w:t xml:space="preserve">  Component A (Equipment CIF):    EUR   1,848,712.43</w:t>
      </w:r>
    </w:p>
    <w:p>
      <w:r>
        <w:t xml:space="preserve">  Component B (EPC Services):     EUR     531,287.57</w:t>
      </w:r>
    </w:p>
    <w:p>
      <w:r>
        <w:t xml:space="preserve">  CONTRACT PRICE (A+B, ex VAT):   EUR   2,380,000.00</w:t>
      </w:r>
    </w:p>
    <w:p>
      <w:r>
        <w:t xml:space="preserve"/>
      </w:r>
    </w:p>
    <w:p>
      <w:r>
        <w:t xml:space="preserve">  APG (70% x Component A):        EUR   1,294,098.70</w:t>
      </w:r>
    </w:p>
    <w:p>
      <w:r>
        <w:t xml:space="preserve">  Perf Bond (5% x Comp A):        EUR      92,435.62</w:t>
      </w:r>
    </w:p>
    <w:p>
      <w:r>
        <w:t xml:space="preserve">-------------------------------------------------------</w:t>
      </w:r>
    </w:p>
    <w:p>
      <w:r>
        <w:t xml:space="preserve"/>
      </w:r>
    </w:p>
    <w:p>
      <w:r>
        <w:t xml:space="preserve">=======================================================</w:t>
      </w:r>
    </w:p>
    <w:p>
      <w:r>
        <w:t xml:space="preserve">PART 2 - COMBINED CONTRACT SUMMARY</w:t>
      </w:r>
    </w:p>
    <w:p>
      <w:r>
        <w:t xml:space="preserve">=======================================================</w:t>
      </w:r>
    </w:p>
    <w:p>
      <w:r>
        <w:t xml:space="preserve"/>
      </w:r>
    </w:p>
    <w:p>
      <w:r>
        <w:t xml:space="preserve">TOTAL CONTRACT PRICE (ex VAT):  EUR 4,760,000.00</w:t>
      </w:r>
    </w:p>
    <w:p>
      <w:r>
        <w:t xml:space="preserve"/>
      </w:r>
    </w:p>
    <w:p>
      <w:r>
        <w:t xml:space="preserve">PAYMENT MILESTONES:</w:t>
      </w:r>
    </w:p>
    <w:p>
      <w:r>
        <w:t xml:space="preserve">  Advance  (30%):  EUR 1,428,000.00  - Within 7 days of signing</w:t>
      </w:r>
    </w:p>
    <w:p>
      <w:r>
        <w:t xml:space="preserve">  Pre-Ship (55%):  EUR 2,618,000.00  - FAT + Linyang written confirmation</w:t>
      </w:r>
    </w:p>
    <w:p>
      <w:r>
        <w:t xml:space="preserve">  PAC      (10%):  EUR   476,000.00  - System commissioned, grid-connected</w:t>
      </w:r>
    </w:p>
    <w:p>
      <w:r>
        <w:t xml:space="preserve">  Retention (5%):  EUR   238,000.00  - Released after 3-month DLP</w:t>
      </w:r>
    </w:p>
    <w:p>
      <w:r>
        <w:t xml:space="preserve">  TOTAL:           EUR 4,760,000.00</w:t>
      </w:r>
    </w:p>
    <w:p>
      <w:r>
        <w:t xml:space="preserve"/>
      </w:r>
    </w:p>
    <w:p>
      <w:r>
        <w:t xml:space="preserve">=======================================================</w:t>
      </w:r>
    </w:p>
    <w:p>
      <w:r>
        <w:t xml:space="preserve">PART 3 - KEY DATES</w:t>
      </w:r>
    </w:p>
    <w:p>
      <w:r>
        <w:t xml:space="preserve">=======================================================</w:t>
      </w:r>
    </w:p>
    <w:p>
      <w:r>
        <w:t xml:space="preserve"/>
      </w:r>
    </w:p>
    <w:p>
      <w:r>
        <w:t xml:space="preserve">Production Start:    Q2 2026</w:t>
      </w:r>
    </w:p>
    <w:p>
      <w:r>
        <w:t xml:space="preserve">Factory Acceptance:  Q3 2026</w:t>
      </w:r>
    </w:p>
    <w:p>
      <w:r>
        <w:t xml:space="preserve">CIF Limassol:        August / September 2026</w:t>
      </w:r>
    </w:p>
    <w:p>
      <w:r>
        <w:t xml:space="preserve">Target PAC Date:     31 January 2027</w:t>
      </w:r>
    </w:p>
    <w:p>
      <w:r>
        <w:t xml:space="preserve">Warranty Start:      On PAC  |  Base Warranty End: 5 years from PAC (Jan 2032)</w:t>
      </w:r>
    </w:p>
    <w:p>
      <w:r>
        <w:t xml:space="preserve">DLP End:             3 months post-PAC (approx. April 2027)</w:t>
      </w:r>
    </w:p>
    <w:p>
      <w:r>
        <w:t xml:space="preserve">Retention Release:   On DLP expiry (approx. April 2027)</w:t>
      </w:r>
    </w:p>
    <w:p>
      <w:r>
        <w:t xml:space="preserve"/>
      </w:r>
    </w:p>
    <w:p>
      <w:r>
        <w:t xml:space="preserve">=======================================================</w:t>
      </w:r>
    </w:p>
    <w:p>
      <w:r>
        <w:t xml:space="preserve">PART 4 - BESS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104</w:t>
      </w:r>
    </w:p>
    <w:p>
      <w:r>
        <w:t xml:space="preserve">PCS: Kehua BCS1250K-C-HUD (1.25 MW); &gt;=98% efficiency; EN 50549-2</w:t>
      </w:r>
    </w:p>
    <w:p>
      <w:r>
        <w:t xml:space="preserve">Incoterms: CIF Limassol, Cyprus (Incoterms 2020); Port of Shipment: Shanghai</w:t>
      </w:r>
    </w:p>
    <w:p>
      <w:r>
        <w:t xml:space="preserve"/>
      </w:r>
    </w:p>
    <w:p>
      <w:r>
        <w:t xml:space="preserve">=======================================================</w:t>
      </w:r>
    </w:p>
    <w:p>
      <w:r>
        <w:t xml:space="preserve">PART 5 - COMPANION DOCUMENTS (executed simultaneously)</w:t>
      </w:r>
    </w:p>
    <w:p>
      <w:r>
        <w:t xml:space="preserve">=======================================================</w:t>
      </w:r>
    </w:p>
    <w:p>
      <w:r>
        <w:t xml:space="preserve"/>
      </w:r>
    </w:p>
    <w:p>
      <w:r>
        <w:t xml:space="preserve">1. LTSA v4.0  (Ref: LCY-LTSA-SPA-2026)</w:t>
      </w:r>
    </w:p>
    <w:p>
      <w:r>
        <w:t xml:space="preserve">2. OEM Direct Warranty Undertaking - Schedule C  (LCY-OEM-DWU-001, one per park)</w:t>
      </w:r>
    </w:p>
    <w:p>
      <w:r>
        <w:t xml:space="preserve">   Linyang contacts: Conor Yang / Kamil Tyburski / Tomasz Wieckowski</w:t>
      </w:r>
    </w:p>
    <w:p>
      <w:r>
        <w:t xml:space="preserve">3. EMS Subscription Addendum - DISPERON  (EUR 400/MWh/yr from PAC)</w:t>
      </w:r>
    </w:p>
    <w:p>
      <w:r>
        <w:t xml:space="preserve">4. APG from Linyang (CP: received before advance payment)</w:t>
      </w:r>
    </w:p>
    <w:p>
      <w:r>
        <w:t xml:space="preserve">5. Performance Bond from Linyang (5% Component A, valid to DLP end)</w:t>
      </w:r>
    </w:p>
    <w:p>
      <w:r>
        <w:t xml:space="preserve"/>
      </w:r>
    </w:p>
    <w:p>
      <w:pPr>
        <w:spacing w:before="320"/>
      </w:pPr>
      <w:r>
        <w:rPr>
          <w:b/>
          <w:color w:val="1A365D"/>
          <w:sz w:val="24"/>
        </w:rPr>
        <w:t>SCHEDULE B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simultaneously with this Agreement.]</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Spanercom Ltd (“Client”):</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