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990000"/>
          <w:sz w:val="18"/>
        </w:rPr>
        <w:t>STRICTLY CONFIDENTIAL — LEGALLY PRIVILEGED — DRAFT FOR COUNSEL REVIEW</w:t>
      </w:r>
    </w:p>
    <w:p>
      <w:pPr>
        <w:jc w:val="center"/>
      </w:pPr>
      <w:r>
        <w:rPr>
          <w:rFonts w:ascii="Calibri" w:hAnsi="Calibri"/>
          <w:b/>
          <w:i w:val="0"/>
          <w:color w:val="1A365D"/>
          <w:sz w:val="28"/>
        </w:rPr>
        <w:t>ALEXANDER PAPACOSTA — LEGAL DOCUMENT PACK</w:t>
      </w:r>
    </w:p>
    <w:p>
      <w:pPr>
        <w:jc w:val="center"/>
      </w:pPr>
      <w:r>
        <w:rPr>
          <w:rFonts w:ascii="Calibri" w:hAnsi="Calibri"/>
          <w:b w:val="0"/>
          <w:i/>
          <w:color w:val="404040"/>
          <w:sz w:val="22"/>
        </w:rPr>
        <w:t>Lighthief Cyprus Ltd · Founder Alignment · May 2026</w:t>
      </w:r>
    </w:p>
    <w:p>
      <w:pPr>
        <w:jc w:val="center"/>
      </w:pPr>
      <w:r>
        <w:rPr>
          <w:rFonts w:ascii="Calibri" w:hAnsi="Calibri"/>
          <w:b w:val="0"/>
          <w:i w:val="0"/>
          <w:color w:val="404040"/>
          <w:sz w:val="18"/>
        </w:rPr>
        <w:t>Combined draft for counsel review — not for execution without legal sign-off</w:t>
      </w:r>
    </w:p>
    <w:p/>
    <w:p>
      <w:r>
        <w:rPr>
          <w:rFonts w:ascii="Calibri" w:hAnsi="Calibri"/>
          <w:b w:val="0"/>
          <w:i w:val="0"/>
          <w:color w:val="404040"/>
          <w:sz w:val="18"/>
        </w:rPr>
        <w:t>Page 1 of the legal content begins with the Executive Summary on the following page. Each numbered Part thereafter starts on a new page with its own footer.</w:t>
      </w:r>
    </w:p>
    <w:p/>
    <w:p>
      <w:r>
        <w:rPr>
          <w:rFonts w:ascii="Calibri" w:hAnsi="Calibri"/>
          <w:b/>
          <w:i w:val="0"/>
          <w:color w:val="1A365D"/>
          <w:sz w:val="24"/>
        </w:rPr>
        <w:t>DOCUMENT INDEX</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Part</w:t>
            </w:r>
          </w:p>
        </w:tc>
        <w:tc>
          <w:tcPr>
            <w:tcW w:type="dxa" w:w="2351"/>
            <w:shd w:fill="1A365D" w:val="clear"/>
          </w:tcPr>
          <w:p>
            <w:r/>
            <w:r>
              <w:rPr>
                <w:rFonts w:ascii="Calibri" w:hAnsi="Calibri"/>
                <w:b/>
                <w:i w:val="0"/>
                <w:color w:val="FFFFFF"/>
                <w:sz w:val="18"/>
              </w:rPr>
              <w:t>Reference</w:t>
            </w:r>
          </w:p>
        </w:tc>
        <w:tc>
          <w:tcPr>
            <w:tcW w:type="dxa" w:w="2351"/>
            <w:shd w:fill="1A365D" w:val="clear"/>
          </w:tcPr>
          <w:p>
            <w:r/>
            <w:r>
              <w:rPr>
                <w:rFonts w:ascii="Calibri" w:hAnsi="Calibri"/>
                <w:b/>
                <w:i w:val="0"/>
                <w:color w:val="FFFFFF"/>
                <w:sz w:val="18"/>
              </w:rPr>
              <w:t>Document</w:t>
            </w:r>
          </w:p>
        </w:tc>
        <w:tc>
          <w:tcPr>
            <w:tcW w:type="dxa" w:w="2351"/>
            <w:shd w:fill="1A365D" w:val="clear"/>
          </w:tcPr>
          <w:p>
            <w:r/>
            <w:r>
              <w:rPr>
                <w:rFonts w:ascii="Calibri" w:hAnsi="Calibri"/>
                <w:b/>
                <w:i w:val="0"/>
                <w:color w:val="FFFFFF"/>
                <w:sz w:val="18"/>
              </w:rPr>
              <w:t>Pagination</w:t>
            </w:r>
          </w:p>
        </w:tc>
      </w:tr>
      <w:tr>
        <w:tc>
          <w:tcPr>
            <w:tcW w:type="dxa" w:w="2351"/>
          </w:tcPr>
          <w:p>
            <w:r/>
            <w:r>
              <w:rPr>
                <w:rFonts w:ascii="Calibri" w:hAnsi="Calibri"/>
                <w:b w:val="0"/>
                <w:i w:val="0"/>
                <w:color w:val="000000"/>
                <w:sz w:val="18"/>
              </w:rPr>
              <w:t>—</w:t>
            </w:r>
          </w:p>
        </w:tc>
        <w:tc>
          <w:tcPr>
            <w:tcW w:type="dxa" w:w="2351"/>
          </w:tcPr>
          <w:p>
            <w:r/>
            <w:r>
              <w:rPr>
                <w:rFonts w:ascii="Calibri" w:hAnsi="Calibri"/>
                <w:b w:val="0"/>
                <w:i w:val="0"/>
                <w:color w:val="000000"/>
                <w:sz w:val="18"/>
              </w:rPr>
              <w:t>LCY-SUMMARY-2026</w:t>
            </w:r>
          </w:p>
        </w:tc>
        <w:tc>
          <w:tcPr>
            <w:tcW w:type="dxa" w:w="2351"/>
          </w:tcPr>
          <w:p>
            <w:r/>
            <w:r>
              <w:rPr>
                <w:rFonts w:ascii="Calibri" w:hAnsi="Calibri"/>
                <w:b w:val="0"/>
                <w:i w:val="0"/>
                <w:color w:val="000000"/>
                <w:sz w:val="18"/>
              </w:rPr>
              <w:t>Executive Summary — economics, signing, document map</w:t>
            </w:r>
          </w:p>
        </w:tc>
        <w:tc>
          <w:tcPr>
            <w:tcW w:type="dxa" w:w="2351"/>
          </w:tcPr>
          <w:p>
            <w:r/>
            <w:r>
              <w:rPr>
                <w:rFonts w:ascii="Calibri" w:hAnsi="Calibri"/>
                <w:b w:val="0"/>
                <w:i w:val="0"/>
                <w:color w:val="000000"/>
                <w:sz w:val="18"/>
              </w:rPr>
              <w:t>See footer</w:t>
            </w:r>
          </w:p>
        </w:tc>
      </w:tr>
      <w:tr>
        <w:tc>
          <w:tcPr>
            <w:tcW w:type="dxa" w:w="2351"/>
          </w:tcPr>
          <w:p>
            <w:r/>
            <w:r>
              <w:rPr>
                <w:rFonts w:ascii="Calibri" w:hAnsi="Calibri"/>
                <w:b w:val="0"/>
                <w:i w:val="0"/>
                <w:color w:val="000000"/>
                <w:sz w:val="18"/>
              </w:rPr>
              <w:t>1</w:t>
            </w:r>
          </w:p>
        </w:tc>
        <w:tc>
          <w:tcPr>
            <w:tcW w:type="dxa" w:w="2351"/>
          </w:tcPr>
          <w:p>
            <w:r/>
            <w:r>
              <w:rPr>
                <w:rFonts w:ascii="Calibri" w:hAnsi="Calibri"/>
                <w:b w:val="0"/>
                <w:i w:val="0"/>
                <w:color w:val="000000"/>
                <w:sz w:val="18"/>
              </w:rPr>
              <w:t>LCY-MOI-TOCA-2026-001</w:t>
            </w:r>
          </w:p>
        </w:tc>
        <w:tc>
          <w:tcPr>
            <w:tcW w:type="dxa" w:w="2351"/>
          </w:tcPr>
          <w:p>
            <w:r/>
            <w:r>
              <w:rPr>
                <w:rFonts w:ascii="Calibri" w:hAnsi="Calibri"/>
                <w:b w:val="0"/>
                <w:i w:val="0"/>
                <w:color w:val="000000"/>
                <w:sz w:val="18"/>
              </w:rPr>
              <w:t>Team Operational Consultancy Agreement — Main Agreement</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2</w:t>
            </w:r>
          </w:p>
        </w:tc>
        <w:tc>
          <w:tcPr>
            <w:tcW w:type="dxa" w:w="2351"/>
          </w:tcPr>
          <w:p>
            <w:r/>
            <w:r>
              <w:rPr>
                <w:rFonts w:ascii="Calibri" w:hAnsi="Calibri"/>
                <w:b w:val="0"/>
                <w:i w:val="0"/>
                <w:color w:val="000000"/>
                <w:sz w:val="18"/>
              </w:rPr>
              <w:t>LCY-MOI-TOCA-2026-001 · Sch. 1</w:t>
            </w:r>
          </w:p>
        </w:tc>
        <w:tc>
          <w:tcPr>
            <w:tcW w:type="dxa" w:w="2351"/>
          </w:tcPr>
          <w:p>
            <w:r/>
            <w:r>
              <w:rPr>
                <w:rFonts w:ascii="Calibri" w:hAnsi="Calibri"/>
                <w:b w:val="0"/>
                <w:i w:val="0"/>
                <w:color w:val="000000"/>
                <w:sz w:val="18"/>
              </w:rPr>
              <w:t>Schedule 1 — Existing Project Parks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3</w:t>
            </w:r>
          </w:p>
        </w:tc>
        <w:tc>
          <w:tcPr>
            <w:tcW w:type="dxa" w:w="2351"/>
          </w:tcPr>
          <w:p>
            <w:r/>
            <w:r>
              <w:rPr>
                <w:rFonts w:ascii="Calibri" w:hAnsi="Calibri"/>
                <w:b w:val="0"/>
                <w:i w:val="0"/>
                <w:color w:val="000000"/>
                <w:sz w:val="18"/>
              </w:rPr>
              <w:t>LCY-MOI-TOCA-2026-001 · Sch. 2</w:t>
            </w:r>
          </w:p>
        </w:tc>
        <w:tc>
          <w:tcPr>
            <w:tcW w:type="dxa" w:w="2351"/>
          </w:tcPr>
          <w:p>
            <w:r/>
            <w:r>
              <w:rPr>
                <w:rFonts w:ascii="Calibri" w:hAnsi="Calibri"/>
                <w:b w:val="0"/>
                <w:i w:val="0"/>
                <w:color w:val="000000"/>
                <w:sz w:val="18"/>
              </w:rPr>
              <w:t>Schedule 2 — Net Margin Calculation Example</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4</w:t>
            </w:r>
          </w:p>
        </w:tc>
        <w:tc>
          <w:tcPr>
            <w:tcW w:type="dxa" w:w="2351"/>
          </w:tcPr>
          <w:p>
            <w:r/>
            <w:r>
              <w:rPr>
                <w:rFonts w:ascii="Calibri" w:hAnsi="Calibri"/>
                <w:b w:val="0"/>
                <w:i w:val="0"/>
                <w:color w:val="000000"/>
                <w:sz w:val="18"/>
              </w:rPr>
              <w:t>LCY-MOI-TOCA-2026-001 · Sch. 3</w:t>
            </w:r>
          </w:p>
        </w:tc>
        <w:tc>
          <w:tcPr>
            <w:tcW w:type="dxa" w:w="2351"/>
          </w:tcPr>
          <w:p>
            <w:r/>
            <w:r>
              <w:rPr>
                <w:rFonts w:ascii="Calibri" w:hAnsi="Calibri"/>
                <w:b w:val="0"/>
                <w:i w:val="0"/>
                <w:color w:val="000000"/>
                <w:sz w:val="18"/>
              </w:rPr>
              <w:t>Schedule 3 — Scope of Operational Services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5</w:t>
            </w:r>
          </w:p>
        </w:tc>
        <w:tc>
          <w:tcPr>
            <w:tcW w:type="dxa" w:w="2351"/>
          </w:tcPr>
          <w:p>
            <w:r/>
            <w:r>
              <w:rPr>
                <w:rFonts w:ascii="Calibri" w:hAnsi="Calibri"/>
                <w:b w:val="0"/>
                <w:i w:val="0"/>
                <w:color w:val="000000"/>
                <w:sz w:val="18"/>
              </w:rPr>
              <w:t>LCY-MOI-TOCA-2026-001 · Execution</w:t>
            </w:r>
          </w:p>
        </w:tc>
        <w:tc>
          <w:tcPr>
            <w:tcW w:type="dxa" w:w="2351"/>
          </w:tcPr>
          <w:p>
            <w:r/>
            <w:r>
              <w:rPr>
                <w:rFonts w:ascii="Calibri" w:hAnsi="Calibri"/>
                <w:b w:val="0"/>
                <w:i w:val="0"/>
                <w:color w:val="000000"/>
                <w:sz w:val="18"/>
              </w:rPr>
              <w:t>Execution — Consultancy Agreement Signatures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6</w:t>
            </w:r>
          </w:p>
        </w:tc>
        <w:tc>
          <w:tcPr>
            <w:tcW w:type="dxa" w:w="2351"/>
          </w:tcPr>
          <w:p>
            <w:r/>
            <w:r>
              <w:rPr>
                <w:rFonts w:ascii="Calibri" w:hAnsi="Calibri"/>
                <w:b w:val="0"/>
                <w:i w:val="0"/>
                <w:color w:val="000000"/>
                <w:sz w:val="18"/>
              </w:rPr>
              <w:t>LCY-MOI-TOCA-2026-001 · Annex A</w:t>
            </w:r>
          </w:p>
        </w:tc>
        <w:tc>
          <w:tcPr>
            <w:tcW w:type="dxa" w:w="2351"/>
          </w:tcPr>
          <w:p>
            <w:r/>
            <w:r>
              <w:rPr>
                <w:rFonts w:ascii="Calibri" w:hAnsi="Calibri"/>
                <w:b w:val="0"/>
                <w:i w:val="0"/>
                <w:color w:val="000000"/>
                <w:sz w:val="18"/>
              </w:rPr>
              <w:t>Annex A — Written Shareholder Resolution (Moi Ostrov)</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7</w:t>
            </w:r>
          </w:p>
        </w:tc>
        <w:tc>
          <w:tcPr>
            <w:tcW w:type="dxa" w:w="2351"/>
          </w:tcPr>
          <w:p>
            <w:r/>
            <w:r>
              <w:rPr>
                <w:rFonts w:ascii="Calibri" w:hAnsi="Calibri"/>
                <w:b w:val="0"/>
                <w:i w:val="0"/>
                <w:color w:val="000000"/>
                <w:sz w:val="18"/>
              </w:rPr>
              <w:t>LCY-MOI-TOCA-2026-001 · Annex B</w:t>
            </w:r>
          </w:p>
        </w:tc>
        <w:tc>
          <w:tcPr>
            <w:tcW w:type="dxa" w:w="2351"/>
          </w:tcPr>
          <w:p>
            <w:r/>
            <w:r>
              <w:rPr>
                <w:rFonts w:ascii="Calibri" w:hAnsi="Calibri"/>
                <w:b w:val="0"/>
                <w:i w:val="0"/>
                <w:color w:val="000000"/>
                <w:sz w:val="18"/>
              </w:rPr>
              <w:t>Annex B — UBO Personal Undertaking</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8</w:t>
            </w:r>
          </w:p>
        </w:tc>
        <w:tc>
          <w:tcPr>
            <w:tcW w:type="dxa" w:w="2351"/>
          </w:tcPr>
          <w:p>
            <w:r/>
            <w:r>
              <w:rPr>
                <w:rFonts w:ascii="Calibri" w:hAnsi="Calibri"/>
                <w:b w:val="0"/>
                <w:i w:val="0"/>
                <w:color w:val="000000"/>
                <w:sz w:val="18"/>
              </w:rPr>
              <w:t>LCY-EMP-AP-2026-001</w:t>
            </w:r>
          </w:p>
        </w:tc>
        <w:tc>
          <w:tcPr>
            <w:tcW w:type="dxa" w:w="2351"/>
          </w:tcPr>
          <w:p>
            <w:r/>
            <w:r>
              <w:rPr>
                <w:rFonts w:ascii="Calibri" w:hAnsi="Calibri"/>
                <w:b w:val="0"/>
                <w:i w:val="0"/>
                <w:color w:val="000000"/>
                <w:sz w:val="18"/>
              </w:rPr>
              <w:t>MD Employment Agreement (€2k net → €5k gross)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9</w:t>
            </w:r>
          </w:p>
        </w:tc>
        <w:tc>
          <w:tcPr>
            <w:tcW w:type="dxa" w:w="2351"/>
          </w:tcPr>
          <w:p>
            <w:r/>
            <w:r>
              <w:rPr>
                <w:rFonts w:ascii="Calibri" w:hAnsi="Calibri"/>
                <w:b w:val="0"/>
                <w:i w:val="0"/>
                <w:color w:val="000000"/>
                <w:sz w:val="18"/>
              </w:rPr>
              <w:t>LCY-SHR-EMP-2026-001</w:t>
            </w:r>
          </w:p>
        </w:tc>
        <w:tc>
          <w:tcPr>
            <w:tcW w:type="dxa" w:w="2351"/>
          </w:tcPr>
          <w:p>
            <w:r/>
            <w:r>
              <w:rPr>
                <w:rFonts w:ascii="Calibri" w:hAnsi="Calibri"/>
                <w:b w:val="0"/>
                <w:i w:val="0"/>
                <w:color w:val="000000"/>
                <w:sz w:val="18"/>
              </w:rPr>
              <w:t>Shareholder Resolution — MD Employment Approval</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10</w:t>
            </w:r>
          </w:p>
        </w:tc>
        <w:tc>
          <w:tcPr>
            <w:tcW w:type="dxa" w:w="2351"/>
          </w:tcPr>
          <w:p>
            <w:r/>
            <w:r>
              <w:rPr>
                <w:rFonts w:ascii="Calibri" w:hAnsi="Calibri"/>
                <w:b w:val="0"/>
                <w:i w:val="0"/>
                <w:color w:val="000000"/>
                <w:sz w:val="18"/>
              </w:rPr>
              <w:t>LCY-MD-EQ-2026-001</w:t>
            </w:r>
          </w:p>
        </w:tc>
        <w:tc>
          <w:tcPr>
            <w:tcW w:type="dxa" w:w="2351"/>
          </w:tcPr>
          <w:p>
            <w:r/>
            <w:r>
              <w:rPr>
                <w:rFonts w:ascii="Calibri" w:hAnsi="Calibri"/>
                <w:b w:val="0"/>
                <w:i w:val="0"/>
                <w:color w:val="000000"/>
                <w:sz w:val="18"/>
              </w:rPr>
              <w:t>MD Equity Participation Side Letter</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11</w:t>
            </w:r>
          </w:p>
        </w:tc>
        <w:tc>
          <w:tcPr>
            <w:tcW w:type="dxa" w:w="2351"/>
          </w:tcPr>
          <w:p>
            <w:r/>
            <w:r>
              <w:rPr>
                <w:rFonts w:ascii="Calibri" w:hAnsi="Calibri"/>
                <w:b w:val="0"/>
                <w:i w:val="0"/>
                <w:color w:val="000000"/>
                <w:sz w:val="18"/>
              </w:rPr>
              <w:t>LCY-OPT-A-2026-001</w:t>
            </w:r>
          </w:p>
        </w:tc>
        <w:tc>
          <w:tcPr>
            <w:tcW w:type="dxa" w:w="2351"/>
          </w:tcPr>
          <w:p>
            <w:r/>
            <w:r>
              <w:rPr>
                <w:rFonts w:ascii="Calibri" w:hAnsi="Calibri"/>
                <w:b w:val="0"/>
                <w:i w:val="0"/>
                <w:color w:val="000000"/>
                <w:sz w:val="18"/>
              </w:rPr>
              <w:t>Option A — Founder Runway &amp; MD Economics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12</w:t>
            </w:r>
          </w:p>
        </w:tc>
        <w:tc>
          <w:tcPr>
            <w:tcW w:type="dxa" w:w="2351"/>
          </w:tcPr>
          <w:p>
            <w:r/>
            <w:r>
              <w:rPr>
                <w:rFonts w:ascii="Calibri" w:hAnsi="Calibri"/>
                <w:b w:val="0"/>
                <w:i w:val="0"/>
                <w:color w:val="000000"/>
                <w:sz w:val="18"/>
              </w:rPr>
              <w:t>LCY-MOI-ADH-2026-001</w:t>
            </w:r>
          </w:p>
        </w:tc>
        <w:tc>
          <w:tcPr>
            <w:tcW w:type="dxa" w:w="2351"/>
          </w:tcPr>
          <w:p>
            <w:r/>
            <w:r>
              <w:rPr>
                <w:rFonts w:ascii="Calibri" w:hAnsi="Calibri"/>
                <w:b w:val="0"/>
                <w:i w:val="0"/>
                <w:color w:val="000000"/>
                <w:sz w:val="18"/>
              </w:rPr>
              <w:t>Deed of Group Adherence (template)</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13</w:t>
            </w:r>
          </w:p>
        </w:tc>
        <w:tc>
          <w:tcPr>
            <w:tcW w:type="dxa" w:w="2351"/>
          </w:tcPr>
          <w:p>
            <w:r/>
            <w:r>
              <w:rPr>
                <w:rFonts w:ascii="Calibri" w:hAnsi="Calibri"/>
                <w:b w:val="0"/>
                <w:i w:val="0"/>
                <w:color w:val="000000"/>
                <w:sz w:val="18"/>
              </w:rPr>
              <w:t>LCY-DIR-IND-2026-001</w:t>
            </w:r>
          </w:p>
        </w:tc>
        <w:tc>
          <w:tcPr>
            <w:tcW w:type="dxa" w:w="2351"/>
          </w:tcPr>
          <w:p>
            <w:r/>
            <w:r>
              <w:rPr>
                <w:rFonts w:ascii="Calibri" w:hAnsi="Calibri"/>
                <w:b w:val="0"/>
                <w:i w:val="0"/>
                <w:color w:val="000000"/>
                <w:sz w:val="18"/>
              </w:rPr>
              <w:t>Director &amp; Officer Protections (D&amp;O + indemnity)</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14</w:t>
            </w:r>
          </w:p>
        </w:tc>
        <w:tc>
          <w:tcPr>
            <w:tcW w:type="dxa" w:w="2351"/>
          </w:tcPr>
          <w:p>
            <w:r/>
            <w:r>
              <w:rPr>
                <w:rFonts w:ascii="Calibri" w:hAnsi="Calibri"/>
                <w:b w:val="0"/>
                <w:i w:val="0"/>
                <w:color w:val="000000"/>
                <w:sz w:val="18"/>
              </w:rPr>
              <w:t>LCY-SHR-DO-2026-001</w:t>
            </w:r>
          </w:p>
        </w:tc>
        <w:tc>
          <w:tcPr>
            <w:tcW w:type="dxa" w:w="2351"/>
          </w:tcPr>
          <w:p>
            <w:r/>
            <w:r>
              <w:rPr>
                <w:rFonts w:ascii="Calibri" w:hAnsi="Calibri"/>
                <w:b w:val="0"/>
                <w:i w:val="0"/>
                <w:color w:val="000000"/>
                <w:sz w:val="18"/>
              </w:rPr>
              <w:t>Shareholder Resolution — D&amp;O Insurance &amp; Indemnity</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15</w:t>
            </w:r>
          </w:p>
        </w:tc>
        <w:tc>
          <w:tcPr>
            <w:tcW w:type="dxa" w:w="2351"/>
          </w:tcPr>
          <w:p>
            <w:r/>
            <w:r>
              <w:rPr>
                <w:rFonts w:ascii="Calibri" w:hAnsi="Calibri"/>
                <w:b w:val="0"/>
                <w:i w:val="0"/>
                <w:color w:val="000000"/>
                <w:sz w:val="18"/>
              </w:rPr>
              <w:t>LCY-GOV-SIGN-2026-001</w:t>
            </w:r>
          </w:p>
        </w:tc>
        <w:tc>
          <w:tcPr>
            <w:tcW w:type="dxa" w:w="2351"/>
          </w:tcPr>
          <w:p>
            <w:r/>
            <w:r>
              <w:rPr>
                <w:rFonts w:ascii="Calibri" w:hAnsi="Calibri"/>
                <w:b w:val="0"/>
                <w:i w:val="0"/>
                <w:color w:val="000000"/>
                <w:sz w:val="18"/>
              </w:rPr>
              <w:t>Signing Matrix &amp; Governance (who signs what)</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16</w:t>
            </w:r>
          </w:p>
        </w:tc>
        <w:tc>
          <w:tcPr>
            <w:tcW w:type="dxa" w:w="2351"/>
          </w:tcPr>
          <w:p>
            <w:r/>
            <w:r>
              <w:rPr>
                <w:rFonts w:ascii="Calibri" w:hAnsi="Calibri"/>
                <w:b w:val="0"/>
                <w:i w:val="0"/>
                <w:color w:val="000000"/>
                <w:sz w:val="18"/>
              </w:rPr>
              <w:t>LCY-BRD-2026-001</w:t>
            </w:r>
          </w:p>
        </w:tc>
        <w:tc>
          <w:tcPr>
            <w:tcW w:type="dxa" w:w="2351"/>
          </w:tcPr>
          <w:p>
            <w:r/>
            <w:r>
              <w:rPr>
                <w:rFonts w:ascii="Calibri" w:hAnsi="Calibri"/>
                <w:b w:val="0"/>
                <w:i w:val="0"/>
                <w:color w:val="000000"/>
                <w:sz w:val="18"/>
              </w:rPr>
              <w:t>Board Minutes — Phase 1 (Founder alignment pack)</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17</w:t>
            </w:r>
          </w:p>
        </w:tc>
        <w:tc>
          <w:tcPr>
            <w:tcW w:type="dxa" w:w="2351"/>
          </w:tcPr>
          <w:p>
            <w:r/>
            <w:r>
              <w:rPr>
                <w:rFonts w:ascii="Calibri" w:hAnsi="Calibri"/>
                <w:b w:val="0"/>
                <w:i w:val="0"/>
                <w:color w:val="000000"/>
                <w:sz w:val="18"/>
              </w:rPr>
              <w:t>LCY-BRD-2026-002</w:t>
            </w:r>
          </w:p>
        </w:tc>
        <w:tc>
          <w:tcPr>
            <w:tcW w:type="dxa" w:w="2351"/>
          </w:tcPr>
          <w:p>
            <w:r/>
            <w:r>
              <w:rPr>
                <w:rFonts w:ascii="Calibri" w:hAnsi="Calibri"/>
                <w:b w:val="0"/>
                <w:i w:val="0"/>
                <w:color w:val="000000"/>
                <w:sz w:val="18"/>
              </w:rPr>
              <w:t>Board Minutes — Phase 2 (Equity side letter / pre-investor)</w:t>
            </w:r>
          </w:p>
        </w:tc>
        <w:tc>
          <w:tcPr>
            <w:tcW w:type="dxa" w:w="2351"/>
          </w:tcPr>
          <w:p>
            <w:r/>
            <w:r>
              <w:rPr>
                <w:rFonts w:ascii="Calibri" w:hAnsi="Calibri"/>
                <w:b w:val="0"/>
                <w:i w:val="0"/>
                <w:color w:val="000000"/>
                <w:sz w:val="18"/>
              </w:rPr>
              <w:t>Restarts at page 1</w:t>
            </w:r>
          </w:p>
        </w:tc>
      </w:tr>
    </w:tbl>
    <w:p/>
    <w:p>
      <w:pPr>
        <w:jc w:val="both"/>
      </w:pPr>
      <w:r>
        <w:rPr>
          <w:rFonts w:ascii="Calibri" w:hAnsi="Calibri"/>
          <w:b w:val="0"/>
          <w:i w:val="0"/>
          <w:color w:val="404040"/>
          <w:sz w:val="18"/>
        </w:rPr>
        <w:t>Each part below begins on a new page with its own footer and page numbering. Print or PDF each section separately using the footer label, or print the full pack for counsel review.</w:t>
      </w:r>
    </w:p>
    <w:p>
      <w:pPr>
        <w:sectPr>
          <w:footerReference w:type="default" r:id="rId9"/>
          <w:pgSz w:w="12240" w:h="15840"/>
          <w:pgMar w:top="1134" w:right="1417" w:bottom="1247" w:left="1417" w:header="720" w:footer="720" w:gutter="0"/>
          <w:cols w:space="720"/>
          <w:docGrid w:linePitch="360"/>
        </w:sectPr>
      </w:pPr>
    </w:p>
    <w:p>
      <w:pPr>
        <w:jc w:val="center"/>
      </w:pPr>
      <w:r>
        <w:rPr>
          <w:rFonts w:ascii="Calibri" w:hAnsi="Calibri"/>
          <w:b/>
          <w:i w:val="0"/>
          <w:color w:val="1A365D"/>
          <w:sz w:val="28"/>
        </w:rPr>
        <w:t>EXECUTIVE SUMMARY</w:t>
      </w:r>
    </w:p>
    <w:p/>
    <w:p>
      <w:pPr>
        <w:jc w:val="both"/>
      </w:pPr>
      <w:r>
        <w:rPr>
          <w:rFonts w:ascii="Calibri" w:hAnsi="Calibri"/>
          <w:b w:val="0"/>
          <w:i w:val="0"/>
          <w:color w:val="000000"/>
          <w:sz w:val="20"/>
        </w:rPr>
        <w:t>Alexander Papacosta — Founder Alignment Pack</w:t>
      </w:r>
    </w:p>
    <w:p>
      <w:pPr>
        <w:jc w:val="both"/>
      </w:pPr>
      <w:r>
        <w:rPr>
          <w:rFonts w:ascii="Calibri" w:hAnsi="Calibri"/>
          <w:b/>
          <w:i w:val="0"/>
          <w:color w:val="000000"/>
          <w:sz w:val="20"/>
        </w:rPr>
        <w:t>Lighthief Cyprus Ltd (HE 477423) · May 2026</w:t>
      </w:r>
    </w:p>
    <w:p>
      <w:pPr>
        <w:ind w:left="567"/>
      </w:pPr>
      <w:r>
        <w:rPr>
          <w:rFonts w:ascii="Calibri" w:hAnsi="Calibri"/>
          <w:b w:val="0"/>
          <w:i/>
          <w:color w:val="404040"/>
          <w:sz w:val="20"/>
        </w:rPr>
        <w:t>**DRAFT — for Cyprus counsel review only.** Not legal advice. Do not execute without qualified lawyer and payroll adviser sign-off.</w:t>
      </w:r>
    </w:p>
    <w:p>
      <w:pPr>
        <w:spacing w:before="240"/>
      </w:pPr>
      <w:r>
        <w:rPr>
          <w:rFonts w:ascii="Calibri" w:hAnsi="Calibri"/>
          <w:b/>
          <w:i w:val="0"/>
          <w:color w:val="C9A432"/>
          <w:sz w:val="24"/>
        </w:rPr>
        <w:t>1. Purpose</w:t>
      </w:r>
    </w:p>
    <w:p>
      <w:pPr>
        <w:jc w:val="both"/>
      </w:pPr>
      <w:r>
        <w:rPr>
          <w:rFonts w:ascii="Calibri" w:hAnsi="Calibri"/>
          <w:b w:val="0"/>
          <w:i w:val="0"/>
          <w:color w:val="000000"/>
          <w:sz w:val="20"/>
        </w:rPr>
        <w:t>This pack aligns Managing Director compensation, Moi Ostrov introducer fees, equity on major EPC signings, optional investor participation, and director protection before Galascope / Esperia execution and any third-party investment.</w:t>
      </w:r>
    </w:p>
    <w:p>
      <w:pPr>
        <w:spacing w:before="240"/>
      </w:pPr>
      <w:r>
        <w:rPr>
          <w:rFonts w:ascii="Calibri" w:hAnsi="Calibri"/>
          <w:b/>
          <w:i w:val="0"/>
          <w:color w:val="C9A432"/>
          <w:sz w:val="24"/>
        </w:rPr>
        <w:t>2. Economics at a glance</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Bucket</w:t>
            </w:r>
          </w:p>
        </w:tc>
        <w:tc>
          <w:tcPr>
            <w:tcW w:type="dxa" w:w="3135"/>
            <w:shd w:fill="1A365D" w:val="clear"/>
          </w:tcPr>
          <w:p>
            <w:r/>
            <w:r>
              <w:rPr>
                <w:rFonts w:ascii="Calibri" w:hAnsi="Calibri"/>
                <w:b/>
                <w:i w:val="0"/>
                <w:color w:val="FFFFFF"/>
                <w:sz w:val="18"/>
              </w:rPr>
              <w:t>What MD receives</w:t>
            </w:r>
          </w:p>
        </w:tc>
        <w:tc>
          <w:tcPr>
            <w:tcW w:type="dxa" w:w="3135"/>
            <w:shd w:fill="1A365D" w:val="clear"/>
          </w:tcPr>
          <w:p>
            <w:r/>
            <w:r>
              <w:rPr>
                <w:rFonts w:ascii="Calibri" w:hAnsi="Calibri"/>
                <w:b/>
                <w:i w:val="0"/>
                <w:color w:val="FFFFFF"/>
                <w:sz w:val="18"/>
              </w:rPr>
              <w:t>Instrument (Part)</w:t>
            </w:r>
          </w:p>
        </w:tc>
      </w:tr>
      <w:tr>
        <w:tc>
          <w:tcPr>
            <w:tcW w:type="dxa" w:w="3135"/>
          </w:tcPr>
          <w:p>
            <w:r/>
            <w:r>
              <w:rPr>
                <w:rFonts w:ascii="Calibri" w:hAnsi="Calibri"/>
                <w:b w:val="0"/>
                <w:i w:val="0"/>
                <w:color w:val="000000"/>
                <w:sz w:val="18"/>
              </w:rPr>
              <w:t>Origination</w:t>
            </w:r>
          </w:p>
        </w:tc>
        <w:tc>
          <w:tcPr>
            <w:tcW w:type="dxa" w:w="3135"/>
          </w:tcPr>
          <w:p>
            <w:r/>
            <w:r>
              <w:rPr>
                <w:rFonts w:ascii="Calibri" w:hAnsi="Calibri"/>
                <w:b w:val="0"/>
                <w:i w:val="0"/>
                <w:color w:val="000000"/>
                <w:sz w:val="18"/>
              </w:rPr>
              <w:t>30% Net Margin on Schedule 1 / signed pipeline</w:t>
            </w:r>
          </w:p>
        </w:tc>
        <w:tc>
          <w:tcPr>
            <w:tcW w:type="dxa" w:w="3135"/>
          </w:tcPr>
          <w:p>
            <w:r/>
            <w:r>
              <w:rPr>
                <w:rFonts w:ascii="Calibri" w:hAnsi="Calibri"/>
                <w:b w:val="0"/>
                <w:i w:val="0"/>
                <w:color w:val="000000"/>
                <w:sz w:val="18"/>
              </w:rPr>
              <w:t>Parts 1–7 · LCY-MOI-TOCA-2026-001</w:t>
            </w:r>
          </w:p>
        </w:tc>
      </w:tr>
      <w:tr>
        <w:tc>
          <w:tcPr>
            <w:tcW w:type="dxa" w:w="3135"/>
          </w:tcPr>
          <w:p>
            <w:r/>
            <w:r>
              <w:rPr>
                <w:rFonts w:ascii="Calibri" w:hAnsi="Calibri"/>
                <w:b w:val="0"/>
                <w:i w:val="0"/>
                <w:color w:val="000000"/>
                <w:sz w:val="18"/>
              </w:rPr>
              <w:t>Operations</w:t>
            </w:r>
          </w:p>
        </w:tc>
        <w:tc>
          <w:tcPr>
            <w:tcW w:type="dxa" w:w="3135"/>
          </w:tcPr>
          <w:p>
            <w:r/>
            <w:r>
              <w:rPr>
                <w:rFonts w:ascii="Calibri" w:hAnsi="Calibri"/>
                <w:b w:val="0"/>
                <w:i w:val="0"/>
                <w:color w:val="000000"/>
                <w:sz w:val="18"/>
              </w:rPr>
              <w:t>30% on future Cyprus BESS EPC/O&amp;M through LCY only</w:t>
            </w:r>
          </w:p>
        </w:tc>
        <w:tc>
          <w:tcPr>
            <w:tcW w:type="dxa" w:w="3135"/>
          </w:tcPr>
          <w:p>
            <w:r/>
            <w:r>
              <w:rPr>
                <w:rFonts w:ascii="Calibri" w:hAnsi="Calibri"/>
                <w:b w:val="0"/>
                <w:i w:val="0"/>
                <w:color w:val="000000"/>
                <w:sz w:val="18"/>
              </w:rPr>
              <w:t>Parts 1–7 · Part B (narrow scope)</w:t>
            </w:r>
          </w:p>
        </w:tc>
      </w:tr>
      <w:tr>
        <w:tc>
          <w:tcPr>
            <w:tcW w:type="dxa" w:w="3135"/>
          </w:tcPr>
          <w:p>
            <w:r/>
            <w:r>
              <w:rPr>
                <w:rFonts w:ascii="Calibri" w:hAnsi="Calibri"/>
                <w:b w:val="0"/>
                <w:i w:val="0"/>
                <w:color w:val="000000"/>
                <w:sz w:val="18"/>
              </w:rPr>
              <w:t>Employment</w:t>
            </w:r>
          </w:p>
        </w:tc>
        <w:tc>
          <w:tcPr>
            <w:tcW w:type="dxa" w:w="3135"/>
          </w:tcPr>
          <w:p>
            <w:r/>
            <w:r>
              <w:rPr>
                <w:rFonts w:ascii="Calibri" w:hAnsi="Calibri"/>
                <w:b w:val="0"/>
                <w:i w:val="0"/>
                <w:color w:val="000000"/>
                <w:sz w:val="18"/>
              </w:rPr>
              <w:t>€2,000 net/mo from 1 Jul 2025 → €5,000 gross from Galascope EPC</w:t>
            </w:r>
          </w:p>
        </w:tc>
        <w:tc>
          <w:tcPr>
            <w:tcW w:type="dxa" w:w="3135"/>
          </w:tcPr>
          <w:p>
            <w:r/>
            <w:r>
              <w:rPr>
                <w:rFonts w:ascii="Calibri" w:hAnsi="Calibri"/>
                <w:b w:val="0"/>
                <w:i w:val="0"/>
                <w:color w:val="000000"/>
                <w:sz w:val="18"/>
              </w:rPr>
              <w:t>Parts 8–9 · LCY-EMP-AP-2026-001</w:t>
            </w:r>
          </w:p>
        </w:tc>
      </w:tr>
      <w:tr>
        <w:tc>
          <w:tcPr>
            <w:tcW w:type="dxa" w:w="3135"/>
          </w:tcPr>
          <w:p>
            <w:r/>
            <w:r>
              <w:rPr>
                <w:rFonts w:ascii="Calibri" w:hAnsi="Calibri"/>
                <w:b w:val="0"/>
                <w:i w:val="0"/>
                <w:color w:val="000000"/>
                <w:sz w:val="18"/>
              </w:rPr>
              <w:t>EPC equity</w:t>
            </w:r>
          </w:p>
        </w:tc>
        <w:tc>
          <w:tcPr>
            <w:tcW w:type="dxa" w:w="3135"/>
          </w:tcPr>
          <w:p>
            <w:r/>
            <w:r>
              <w:rPr>
                <w:rFonts w:ascii="Calibri" w:hAnsi="Calibri"/>
                <w:b w:val="0"/>
                <w:i w:val="0"/>
                <w:color w:val="000000"/>
                <w:sz w:val="18"/>
              </w:rPr>
              <w:t>10% on Galascope EPC signing + 10% on Esperia EPC signing (20% max)</w:t>
            </w:r>
          </w:p>
        </w:tc>
        <w:tc>
          <w:tcPr>
            <w:tcW w:type="dxa" w:w="3135"/>
          </w:tcPr>
          <w:p>
            <w:r/>
            <w:r>
              <w:rPr>
                <w:rFonts w:ascii="Calibri" w:hAnsi="Calibri"/>
                <w:b w:val="0"/>
                <w:i w:val="0"/>
                <w:color w:val="000000"/>
                <w:sz w:val="18"/>
              </w:rPr>
              <w:t>Part 10 · LCY-MD-EQ-2026-001</w:t>
            </w:r>
          </w:p>
        </w:tc>
      </w:tr>
      <w:tr>
        <w:tc>
          <w:tcPr>
            <w:tcW w:type="dxa" w:w="3135"/>
          </w:tcPr>
          <w:p>
            <w:r/>
            <w:r>
              <w:rPr>
                <w:rFonts w:ascii="Calibri" w:hAnsi="Calibri"/>
                <w:b w:val="0"/>
                <w:i w:val="0"/>
                <w:color w:val="000000"/>
                <w:sz w:val="18"/>
              </w:rPr>
              <w:t>Investor path</w:t>
            </w:r>
          </w:p>
        </w:tc>
        <w:tc>
          <w:tcPr>
            <w:tcW w:type="dxa" w:w="3135"/>
          </w:tcPr>
          <w:p>
            <w:r/>
            <w:r>
              <w:rPr>
                <w:rFonts w:ascii="Calibri" w:hAnsi="Calibri"/>
                <w:b w:val="0"/>
                <w:i w:val="0"/>
                <w:color w:val="000000"/>
                <w:sz w:val="18"/>
              </w:rPr>
              <w:t>30% of subscription cash to Company + 15% MD equity cap (EPC grants count)</w:t>
            </w:r>
          </w:p>
        </w:tc>
        <w:tc>
          <w:tcPr>
            <w:tcW w:type="dxa" w:w="3135"/>
          </w:tcPr>
          <w:p>
            <w:r/>
            <w:r>
              <w:rPr>
                <w:rFonts w:ascii="Calibri" w:hAnsi="Calibri"/>
                <w:b w:val="0"/>
                <w:i w:val="0"/>
                <w:color w:val="000000"/>
                <w:sz w:val="18"/>
              </w:rPr>
              <w:t>Part 10</w:t>
            </w:r>
          </w:p>
        </w:tc>
      </w:tr>
      <w:tr>
        <w:tc>
          <w:tcPr>
            <w:tcW w:type="dxa" w:w="3135"/>
          </w:tcPr>
          <w:p>
            <w:r/>
            <w:r>
              <w:rPr>
                <w:rFonts w:ascii="Calibri" w:hAnsi="Calibri"/>
                <w:b w:val="0"/>
                <w:i w:val="0"/>
                <w:color w:val="000000"/>
                <w:sz w:val="18"/>
              </w:rPr>
              <w:t>Runway</w:t>
            </w:r>
          </w:p>
        </w:tc>
        <w:tc>
          <w:tcPr>
            <w:tcW w:type="dxa" w:w="3135"/>
          </w:tcPr>
          <w:p>
            <w:r/>
            <w:r>
              <w:rPr>
                <w:rFonts w:ascii="Calibri" w:hAnsi="Calibri"/>
                <w:b w:val="0"/>
                <w:i w:val="0"/>
                <w:color w:val="000000"/>
                <w:sz w:val="18"/>
              </w:rPr>
              <w:t>Founder loan / capital heads (if used)</w:t>
            </w:r>
          </w:p>
        </w:tc>
        <w:tc>
          <w:tcPr>
            <w:tcW w:type="dxa" w:w="3135"/>
          </w:tcPr>
          <w:p>
            <w:r/>
            <w:r>
              <w:rPr>
                <w:rFonts w:ascii="Calibri" w:hAnsi="Calibri"/>
                <w:b w:val="0"/>
                <w:i w:val="0"/>
                <w:color w:val="000000"/>
                <w:sz w:val="18"/>
              </w:rPr>
              <w:t>Part 11 · LCY-OPT-A-2026-001</w:t>
            </w:r>
          </w:p>
        </w:tc>
      </w:tr>
      <w:tr>
        <w:tc>
          <w:tcPr>
            <w:tcW w:type="dxa" w:w="3135"/>
          </w:tcPr>
          <w:p>
            <w:r/>
            <w:r>
              <w:rPr>
                <w:rFonts w:ascii="Calibri" w:hAnsi="Calibri"/>
                <w:b w:val="0"/>
                <w:i w:val="0"/>
                <w:color w:val="000000"/>
                <w:sz w:val="18"/>
              </w:rPr>
              <w:t>D&amp;O</w:t>
            </w:r>
          </w:p>
        </w:tc>
        <w:tc>
          <w:tcPr>
            <w:tcW w:type="dxa" w:w="3135"/>
          </w:tcPr>
          <w:p>
            <w:r/>
            <w:r>
              <w:rPr>
                <w:rFonts w:ascii="Calibri" w:hAnsi="Calibri"/>
                <w:b w:val="0"/>
                <w:i w:val="0"/>
                <w:color w:val="000000"/>
                <w:sz w:val="18"/>
              </w:rPr>
              <w:t>Company indemnity + D&amp;O insurance (director + secretary)</w:t>
            </w:r>
          </w:p>
        </w:tc>
        <w:tc>
          <w:tcPr>
            <w:tcW w:type="dxa" w:w="3135"/>
          </w:tcPr>
          <w:p>
            <w:r/>
            <w:r>
              <w:rPr>
                <w:rFonts w:ascii="Calibri" w:hAnsi="Calibri"/>
                <w:b w:val="0"/>
                <w:i w:val="0"/>
                <w:color w:val="000000"/>
                <w:sz w:val="18"/>
              </w:rPr>
              <w:t>Parts 13–14</w:t>
            </w:r>
          </w:p>
        </w:tc>
      </w:tr>
    </w:tbl>
    <w:p/>
    <w:p>
      <w:pPr>
        <w:jc w:val="both"/>
      </w:pPr>
      <w:r>
        <w:rPr>
          <w:rFonts w:ascii="Calibri" w:hAnsi="Calibri"/>
          <w:b w:val="0"/>
          <w:i w:val="0"/>
          <w:color w:val="000000"/>
          <w:sz w:val="20"/>
        </w:rPr>
        <w:t>Not combined: margin commission ≠ equity ≠ employment salary ≠ investor success fee.</w:t>
      </w:r>
    </w:p>
    <w:p>
      <w:pPr>
        <w:spacing w:before="240"/>
      </w:pPr>
      <w:r>
        <w:rPr>
          <w:rFonts w:ascii="Calibri" w:hAnsi="Calibri"/>
          <w:b/>
          <w:i w:val="0"/>
          <w:color w:val="C9A432"/>
          <w:sz w:val="24"/>
        </w:rPr>
        <w:t>3. Equity — founder proposal (May 2026)</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Trigger</w:t>
            </w:r>
          </w:p>
        </w:tc>
        <w:tc>
          <w:tcPr>
            <w:tcW w:type="dxa" w:w="3135"/>
            <w:shd w:fill="1A365D" w:val="clear"/>
          </w:tcPr>
          <w:p>
            <w:r/>
            <w:r>
              <w:rPr>
                <w:rFonts w:ascii="Calibri" w:hAnsi="Calibri"/>
                <w:b/>
                <w:i w:val="0"/>
                <w:color w:val="FFFFFF"/>
                <w:sz w:val="18"/>
              </w:rPr>
              <w:t>MD equity (cumulative)</w:t>
            </w:r>
          </w:p>
        </w:tc>
        <w:tc>
          <w:tcPr>
            <w:tcW w:type="dxa" w:w="3135"/>
            <w:shd w:fill="1A365D" w:val="clear"/>
          </w:tcPr>
          <w:p>
            <w:r/>
            <w:r>
              <w:rPr>
                <w:rFonts w:ascii="Calibri" w:hAnsi="Calibri"/>
                <w:b/>
                <w:i w:val="0"/>
                <w:color w:val="FFFFFF"/>
                <w:sz w:val="18"/>
              </w:rPr>
              <w:t>MD cash</w:t>
            </w:r>
          </w:p>
        </w:tc>
      </w:tr>
      <w:tr>
        <w:tc>
          <w:tcPr>
            <w:tcW w:type="dxa" w:w="3135"/>
          </w:tcPr>
          <w:p>
            <w:r/>
            <w:r>
              <w:rPr>
                <w:rFonts w:ascii="Calibri" w:hAnsi="Calibri"/>
                <w:b w:val="0"/>
                <w:i w:val="0"/>
                <w:color w:val="000000"/>
                <w:sz w:val="18"/>
              </w:rPr>
              <w:t>Galascope EPC signed &amp; stamped</w:t>
            </w:r>
          </w:p>
        </w:tc>
        <w:tc>
          <w:tcPr>
            <w:tcW w:type="dxa" w:w="3135"/>
          </w:tcPr>
          <w:p>
            <w:r/>
            <w:r>
              <w:rPr>
                <w:rFonts w:ascii="Calibri" w:hAnsi="Calibri"/>
                <w:b w:val="0"/>
                <w:i w:val="0"/>
                <w:color w:val="000000"/>
                <w:sz w:val="18"/>
              </w:rPr>
              <w:t>10%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Esperia EPC signed &amp; stamped</w:t>
            </w:r>
          </w:p>
        </w:tc>
        <w:tc>
          <w:tcPr>
            <w:tcW w:type="dxa" w:w="3135"/>
          </w:tcPr>
          <w:p>
            <w:r/>
            <w:r>
              <w:rPr>
                <w:rFonts w:ascii="Calibri" w:hAnsi="Calibri"/>
                <w:b w:val="0"/>
                <w:i w:val="0"/>
                <w:color w:val="000000"/>
                <w:sz w:val="18"/>
              </w:rPr>
              <w:t>20%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Third-party investor (e.g. €500k / 12.5%)</w:t>
            </w:r>
          </w:p>
        </w:tc>
        <w:tc>
          <w:tcPr>
            <w:tcW w:type="dxa" w:w="3135"/>
          </w:tcPr>
          <w:p>
            <w:r/>
            <w:r>
              <w:rPr>
                <w:rFonts w:ascii="Calibri" w:hAnsi="Calibri"/>
                <w:b w:val="0"/>
                <w:i w:val="0"/>
                <w:color w:val="000000"/>
                <w:sz w:val="18"/>
              </w:rPr>
              <w:t>≤15% total</w:t>
            </w:r>
          </w:p>
        </w:tc>
        <w:tc>
          <w:tcPr>
            <w:tcW w:type="dxa" w:w="3135"/>
          </w:tcPr>
          <w:p>
            <w:r/>
            <w:r>
              <w:rPr>
                <w:rFonts w:ascii="Calibri" w:hAnsi="Calibri"/>
                <w:b w:val="0"/>
                <w:i w:val="0"/>
                <w:color w:val="000000"/>
                <w:sz w:val="18"/>
              </w:rPr>
              <w:t>€150,000 (30% of cash)</w:t>
            </w:r>
          </w:p>
        </w:tc>
      </w:tr>
      <w:tr>
        <w:tc>
          <w:tcPr>
            <w:tcW w:type="dxa" w:w="3135"/>
          </w:tcPr>
          <w:p>
            <w:r/>
            <w:r>
              <w:rPr>
                <w:rFonts w:ascii="Calibri" w:hAnsi="Calibri"/>
                <w:b w:val="0"/>
                <w:i w:val="0"/>
                <w:color w:val="000000"/>
                <w:sz w:val="18"/>
              </w:rPr>
              <w:t>Galascope 10% then investor before Esperia</w:t>
            </w:r>
          </w:p>
        </w:tc>
        <w:tc>
          <w:tcPr>
            <w:tcW w:type="dxa" w:w="3135"/>
          </w:tcPr>
          <w:p>
            <w:r/>
            <w:r>
              <w:rPr>
                <w:rFonts w:ascii="Calibri" w:hAnsi="Calibri"/>
                <w:b w:val="0"/>
                <w:i w:val="0"/>
                <w:color w:val="000000"/>
                <w:sz w:val="18"/>
              </w:rPr>
              <w:t>15% cap (not full second 10%)</w:t>
            </w:r>
          </w:p>
        </w:tc>
        <w:tc>
          <w:tcPr>
            <w:tcW w:type="dxa" w:w="3135"/>
          </w:tcPr>
          <w:p>
            <w:r/>
            <w:r>
              <w:rPr>
                <w:rFonts w:ascii="Calibri" w:hAnsi="Calibri"/>
                <w:b w:val="0"/>
                <w:i w:val="0"/>
                <w:color w:val="000000"/>
                <w:sz w:val="18"/>
              </w:rPr>
              <w:t>€150,000</w:t>
            </w:r>
          </w:p>
        </w:tc>
      </w:tr>
    </w:tbl>
    <w:p/>
    <w:p>
      <w:pPr>
        <w:jc w:val="both"/>
      </w:pPr>
      <w:r>
        <w:rPr>
          <w:rFonts w:ascii="Calibri" w:hAnsi="Calibri"/>
          <w:b w:val="0"/>
          <w:i w:val="0"/>
          <w:color w:val="000000"/>
          <w:sz w:val="20"/>
        </w:rPr>
        <w:t>Replaces prior “25% pool minus sold” model. 30% participation fee paid by Founder / Lighthief International where possible (not Company WC).</w:t>
      </w:r>
    </w:p>
    <w:p>
      <w:pPr>
        <w:spacing w:before="240"/>
      </w:pPr>
      <w:r>
        <w:rPr>
          <w:rFonts w:ascii="Calibri" w:hAnsi="Calibri"/>
          <w:b/>
          <w:i w:val="0"/>
          <w:color w:val="C9A432"/>
          <w:sz w:val="24"/>
        </w:rPr>
        <w:t>4. Corporate structure — who signs what</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Person / entity</w:t>
            </w:r>
          </w:p>
        </w:tc>
        <w:tc>
          <w:tcPr>
            <w:tcW w:type="dxa" w:w="3135"/>
            <w:shd w:fill="1A365D" w:val="clear"/>
          </w:tcPr>
          <w:p>
            <w:r/>
            <w:r>
              <w:rPr>
                <w:rFonts w:ascii="Calibri" w:hAnsi="Calibri"/>
                <w:b/>
                <w:i w:val="0"/>
                <w:color w:val="FFFFFF"/>
                <w:sz w:val="18"/>
              </w:rPr>
              <w:t>Role</w:t>
            </w:r>
          </w:p>
        </w:tc>
        <w:tc>
          <w:tcPr>
            <w:tcW w:type="dxa" w:w="3135"/>
            <w:shd w:fill="1A365D" w:val="clear"/>
          </w:tcPr>
          <w:p>
            <w:r/>
            <w:r>
              <w:rPr>
                <w:rFonts w:ascii="Calibri" w:hAnsi="Calibri"/>
                <w:b/>
                <w:i w:val="0"/>
                <w:color w:val="FFFFFF"/>
                <w:sz w:val="18"/>
              </w:rPr>
              <w:t>Signs</w:t>
            </w:r>
          </w:p>
        </w:tc>
      </w:tr>
      <w:tr>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Sole shareholder (100%); corporate director</w:t>
            </w:r>
          </w:p>
        </w:tc>
        <w:tc>
          <w:tcPr>
            <w:tcW w:type="dxa" w:w="3135"/>
          </w:tcPr>
          <w:p>
            <w:r/>
            <w:r>
              <w:rPr>
                <w:rFonts w:ascii="Calibri" w:hAnsi="Calibri"/>
                <w:b w:val="0"/>
                <w:i w:val="0"/>
                <w:color w:val="000000"/>
                <w:sz w:val="18"/>
              </w:rPr>
              <w:t>Shareholder resolutions only</w:t>
            </w:r>
          </w:p>
        </w:tc>
      </w:tr>
      <w:tr>
        <w:tc>
          <w:tcPr>
            <w:tcW w:type="dxa" w:w="3135"/>
          </w:tcPr>
          <w:p>
            <w:r/>
            <w:r>
              <w:rPr>
                <w:rFonts w:ascii="Calibri" w:hAnsi="Calibri"/>
                <w:b w:val="0"/>
                <w:i w:val="0"/>
                <w:color w:val="000000"/>
                <w:sz w:val="18"/>
              </w:rPr>
              <w:t>Dr. Arkadiusz Sybaris</w:t>
            </w:r>
          </w:p>
        </w:tc>
        <w:tc>
          <w:tcPr>
            <w:tcW w:type="dxa" w:w="3135"/>
          </w:tcPr>
          <w:p>
            <w:r/>
            <w:r>
              <w:rPr>
                <w:rFonts w:ascii="Calibri" w:hAnsi="Calibri"/>
                <w:b w:val="0"/>
                <w:i w:val="0"/>
                <w:color w:val="000000"/>
                <w:sz w:val="18"/>
              </w:rPr>
              <w:t>UBO of LI</w:t>
            </w:r>
          </w:p>
        </w:tc>
        <w:tc>
          <w:tcPr>
            <w:tcW w:type="dxa" w:w="3135"/>
          </w:tcPr>
          <w:p>
            <w:r/>
            <w:r>
              <w:rPr>
                <w:rFonts w:ascii="Calibri" w:hAnsi="Calibri"/>
                <w:b w:val="0"/>
                <w:i w:val="0"/>
                <w:color w:val="000000"/>
                <w:sz w:val="18"/>
              </w:rPr>
              <w:t>For LI: Annex A, SHR-EMP, SHR-DO · Personal: Annex B · Founder: side letter, Option A · Board: chairs minutes</w:t>
            </w:r>
          </w:p>
        </w:tc>
      </w:tr>
      <w:tr>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LCY director + secretary; Moi Ostrov director; MD</w:t>
            </w:r>
          </w:p>
        </w:tc>
        <w:tc>
          <w:tcPr>
            <w:tcW w:type="dxa" w:w="3135"/>
          </w:tcPr>
          <w:p>
            <w:r/>
            <w:r>
              <w:rPr>
                <w:rFonts w:ascii="Calibri" w:hAnsi="Calibri"/>
                <w:b w:val="0"/>
                <w:i w:val="0"/>
                <w:color w:val="000000"/>
                <w:sz w:val="18"/>
              </w:rPr>
              <w:t>LCY ↔ Moi Ostrov deed, employment, D&amp;O beneficiary · Never shareholder resolutions</w:t>
            </w:r>
          </w:p>
        </w:tc>
      </w:tr>
    </w:tbl>
    <w:p/>
    <w:p>
      <w:pPr>
        <w:jc w:val="both"/>
      </w:pPr>
      <w:r>
        <w:rPr>
          <w:rFonts w:ascii="Calibri" w:hAnsi="Calibri"/>
          <w:b w:val="0"/>
          <w:i w:val="0"/>
          <w:color w:val="000000"/>
          <w:sz w:val="20"/>
        </w:rPr>
        <w:t>Golden rule: Shareholder approvals = Sybaris for LI. UBO undertaking = Sybaris personal. Company contracts = Alexander for LCY (where board + SHR authorise).</w:t>
      </w:r>
    </w:p>
    <w:p>
      <w:pPr>
        <w:jc w:val="both"/>
      </w:pPr>
      <w:r>
        <w:rPr>
          <w:rFonts w:ascii="Calibri" w:hAnsi="Calibri"/>
          <w:b w:val="0"/>
          <w:i w:val="0"/>
          <w:color w:val="000000"/>
          <w:sz w:val="20"/>
        </w:rPr>
        <w:t>Full matrix: Part 15 (LCY-GOV-SIGN-2026-001).</w:t>
      </w:r>
    </w:p>
    <w:p>
      <w:pPr>
        <w:spacing w:before="240"/>
      </w:pPr>
      <w:r>
        <w:rPr>
          <w:rFonts w:ascii="Calibri" w:hAnsi="Calibri"/>
          <w:b/>
          <w:i w:val="0"/>
          <w:color w:val="C9A432"/>
          <w:sz w:val="24"/>
        </w:rPr>
        <w:t>5. Recommended execution order</w:t>
      </w:r>
    </w:p>
    <w:p>
      <w:r>
        <w:rPr>
          <w:rFonts w:ascii="Calibri" w:hAnsi="Calibri"/>
          <w:b/>
          <w:i w:val="0"/>
          <w:color w:val="1A365D"/>
          <w:sz w:val="22"/>
        </w:rPr>
        <w:t>Phase 1 — Founder alignment (before / with Galascope EPC)</w:t>
      </w:r>
    </w:p>
    <w:p>
      <w:pPr>
        <w:jc w:val="both"/>
      </w:pPr>
      <w:r>
        <w:rPr>
          <w:rFonts w:ascii="Calibri" w:hAnsi="Calibri"/>
          <w:b w:val="0"/>
          <w:i w:val="0"/>
          <w:color w:val="000000"/>
          <w:sz w:val="20"/>
        </w:rPr>
        <w:t>1. Board — adopt Part 16 minutes (Alexander recuses conflicts; Sybaris chairs).</w:t>
      </w:r>
    </w:p>
    <w:p>
      <w:pPr>
        <w:jc w:val="both"/>
      </w:pPr>
      <w:r>
        <w:rPr>
          <w:rFonts w:ascii="Calibri" w:hAnsi="Calibri"/>
          <w:b w:val="0"/>
          <w:i w:val="0"/>
          <w:color w:val="000000"/>
          <w:sz w:val="20"/>
        </w:rPr>
        <w:t>2. Sybaris — Annex B (personal) → Annex A → LCY-SHR-EMP → LCY-SHR-DO.</w:t>
      </w:r>
    </w:p>
    <w:p>
      <w:pPr>
        <w:jc w:val="both"/>
      </w:pPr>
      <w:r>
        <w:rPr>
          <w:rFonts w:ascii="Calibri" w:hAnsi="Calibri"/>
          <w:b w:val="0"/>
          <w:i w:val="0"/>
          <w:color w:val="000000"/>
          <w:sz w:val="20"/>
        </w:rPr>
        <w:t>3. Alexander — Consultancy deed (LCY + Moi Ostrov) → Employment → D&amp;O deed.</w:t>
      </w:r>
    </w:p>
    <w:p>
      <w:pPr>
        <w:jc w:val="both"/>
      </w:pPr>
      <w:r>
        <w:rPr>
          <w:rFonts w:ascii="Calibri" w:hAnsi="Calibri"/>
          <w:b w:val="0"/>
          <w:i w:val="0"/>
          <w:color w:val="000000"/>
          <w:sz w:val="20"/>
        </w:rPr>
        <w:t>4. Option A heads — if signing now (Part 11).</w:t>
      </w:r>
    </w:p>
    <w:p>
      <w:pPr>
        <w:jc w:val="both"/>
      </w:pPr>
      <w:r>
        <w:rPr>
          <w:rFonts w:ascii="Calibri" w:hAnsi="Calibri"/>
          <w:b w:val="0"/>
          <w:i w:val="0"/>
          <w:color w:val="000000"/>
          <w:sz w:val="20"/>
        </w:rPr>
        <w:t>5. Secretary files resolutions and minutes.</w:t>
      </w:r>
    </w:p>
    <w:p>
      <w:r>
        <w:rPr>
          <w:rFonts w:ascii="Calibri" w:hAnsi="Calibri"/>
          <w:b/>
          <w:i w:val="0"/>
          <w:color w:val="1A365D"/>
          <w:sz w:val="22"/>
        </w:rPr>
        <w:t>Phase 2 — Before first investor tranche</w:t>
      </w:r>
    </w:p>
    <w:p>
      <w:pPr>
        <w:jc w:val="both"/>
      </w:pPr>
      <w:r>
        <w:rPr>
          <w:rFonts w:ascii="Calibri" w:hAnsi="Calibri"/>
          <w:b w:val="0"/>
          <w:i w:val="0"/>
          <w:color w:val="000000"/>
          <w:sz w:val="20"/>
        </w:rPr>
        <w:t>6. Board — Part 17 minutes + equity side letter (Part 10).</w:t>
      </w:r>
    </w:p>
    <w:p>
      <w:r>
        <w:rPr>
          <w:rFonts w:ascii="Calibri" w:hAnsi="Calibri"/>
          <w:b/>
          <w:i w:val="0"/>
          <w:color w:val="1A365D"/>
          <w:sz w:val="22"/>
        </w:rPr>
        <w:t>Phase 3 — EPC milestones</w:t>
      </w:r>
    </w:p>
    <w:p>
      <w:pPr>
        <w:jc w:val="both"/>
      </w:pPr>
      <w:r>
        <w:rPr>
          <w:rFonts w:ascii="Calibri" w:hAnsi="Calibri"/>
          <w:b w:val="0"/>
          <w:i w:val="0"/>
          <w:color w:val="000000"/>
          <w:sz w:val="20"/>
        </w:rPr>
        <w:t>7. Galascope EPC — 10% equity grant + €5k gross salary.</w:t>
      </w:r>
    </w:p>
    <w:p>
      <w:pPr>
        <w:jc w:val="both"/>
      </w:pPr>
      <w:r>
        <w:rPr>
          <w:rFonts w:ascii="Calibri" w:hAnsi="Calibri"/>
          <w:b w:val="0"/>
          <w:i w:val="0"/>
          <w:color w:val="000000"/>
          <w:sz w:val="20"/>
        </w:rPr>
        <w:t>8. Esperia EPC — second 10% if 15% investor cap allows.</w:t>
      </w:r>
    </w:p>
    <w:p>
      <w:pPr>
        <w:spacing w:before="240"/>
      </w:pPr>
      <w:r>
        <w:rPr>
          <w:rFonts w:ascii="Calibri" w:hAnsi="Calibri"/>
          <w:b/>
          <w:i w:val="0"/>
          <w:color w:val="C9A432"/>
          <w:sz w:val="24"/>
        </w:rPr>
        <w:t>6. Document map (17 parts)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w:t>
            </w:r>
          </w:p>
        </w:tc>
        <w:tc>
          <w:tcPr>
            <w:tcW w:type="dxa" w:w="3135"/>
            <w:shd w:fill="1A365D" w:val="clear"/>
          </w:tcPr>
          <w:p>
            <w:r/>
            <w:r>
              <w:rPr>
                <w:rFonts w:ascii="Calibri" w:hAnsi="Calibri"/>
                <w:b/>
                <w:i w:val="0"/>
                <w:color w:val="FFFFFF"/>
                <w:sz w:val="18"/>
              </w:rPr>
              <w:t>Reference</w:t>
            </w:r>
          </w:p>
        </w:tc>
        <w:tc>
          <w:tcPr>
            <w:tcW w:type="dxa" w:w="3135"/>
            <w:shd w:fill="1A365D" w:val="clear"/>
          </w:tcPr>
          <w:p>
            <w:r/>
            <w:r>
              <w:rPr>
                <w:rFonts w:ascii="Calibri" w:hAnsi="Calibri"/>
                <w:b/>
                <w:i w:val="0"/>
                <w:color w:val="FFFFFF"/>
                <w:sz w:val="18"/>
              </w:rPr>
              <w:t>Document</w:t>
            </w:r>
          </w:p>
        </w:tc>
      </w:tr>
      <w:tr>
        <w:tc>
          <w:tcPr>
            <w:tcW w:type="dxa" w:w="3135"/>
          </w:tcPr>
          <w:p>
            <w:r/>
            <w:r>
              <w:rPr>
                <w:rFonts w:ascii="Calibri" w:hAnsi="Calibri"/>
                <w:b w:val="0"/>
                <w:i w:val="0"/>
                <w:color w:val="000000"/>
                <w:sz w:val="18"/>
              </w:rPr>
              <w:t>1–4</w:t>
            </w:r>
          </w:p>
        </w:tc>
        <w:tc>
          <w:tcPr>
            <w:tcW w:type="dxa" w:w="3135"/>
          </w:tcPr>
          <w:p>
            <w:r/>
            <w:r>
              <w:rPr>
                <w:rFonts w:ascii="Calibri" w:hAnsi="Calibri"/>
                <w:b w:val="0"/>
                <w:i w:val="0"/>
                <w:color w:val="000000"/>
                <w:sz w:val="18"/>
              </w:rPr>
              <w:t>LCY-MOI-TOCA-2026-001</w:t>
            </w:r>
          </w:p>
        </w:tc>
        <w:tc>
          <w:tcPr>
            <w:tcW w:type="dxa" w:w="3135"/>
          </w:tcPr>
          <w:p>
            <w:r/>
            <w:r>
              <w:rPr>
                <w:rFonts w:ascii="Calibri" w:hAnsi="Calibri"/>
                <w:b w:val="0"/>
                <w:i w:val="0"/>
                <w:color w:val="000000"/>
                <w:sz w:val="18"/>
              </w:rPr>
              <w:t>Consultancy agreement + Schedules 1–3</w:t>
            </w:r>
          </w:p>
        </w:tc>
      </w:tr>
      <w:tr>
        <w:tc>
          <w:tcPr>
            <w:tcW w:type="dxa" w:w="3135"/>
          </w:tcPr>
          <w:p>
            <w:r/>
            <w:r>
              <w:rPr>
                <w:rFonts w:ascii="Calibri" w:hAnsi="Calibri"/>
                <w:b w:val="0"/>
                <w:i w:val="0"/>
                <w:color w:val="000000"/>
                <w:sz w:val="18"/>
              </w:rPr>
              <w:t>5–7</w:t>
            </w:r>
          </w:p>
        </w:tc>
        <w:tc>
          <w:tcPr>
            <w:tcW w:type="dxa" w:w="3135"/>
          </w:tcPr>
          <w:p>
            <w:r/>
            <w:r>
              <w:rPr>
                <w:rFonts w:ascii="Calibri" w:hAnsi="Calibri"/>
                <w:b w:val="0"/>
                <w:i w:val="0"/>
                <w:color w:val="000000"/>
                <w:sz w:val="18"/>
              </w:rPr>
            </w:r>
          </w:p>
        </w:tc>
        <w:tc>
          <w:tcPr>
            <w:tcW w:type="dxa" w:w="3135"/>
          </w:tcPr>
          <w:p>
            <w:r/>
            <w:r>
              <w:rPr>
                <w:rFonts w:ascii="Calibri" w:hAnsi="Calibri"/>
                <w:b w:val="0"/>
                <w:i w:val="0"/>
                <w:color w:val="000000"/>
                <w:sz w:val="18"/>
              </w:rPr>
              <w:t>Execution · Annex A (SHR) · Annex B (UBO personal)</w:t>
            </w:r>
          </w:p>
        </w:tc>
      </w:tr>
      <w:tr>
        <w:tc>
          <w:tcPr>
            <w:tcW w:type="dxa" w:w="3135"/>
          </w:tcPr>
          <w:p>
            <w:r/>
            <w:r>
              <w:rPr>
                <w:rFonts w:ascii="Calibri" w:hAnsi="Calibri"/>
                <w:b w:val="0"/>
                <w:i w:val="0"/>
                <w:color w:val="000000"/>
                <w:sz w:val="18"/>
              </w:rPr>
              <w:t>8–9</w:t>
            </w:r>
          </w:p>
        </w:tc>
        <w:tc>
          <w:tcPr>
            <w:tcW w:type="dxa" w:w="3135"/>
          </w:tcPr>
          <w:p>
            <w:r/>
            <w:r>
              <w:rPr>
                <w:rFonts w:ascii="Calibri" w:hAnsi="Calibri"/>
                <w:b w:val="0"/>
                <w:i w:val="0"/>
                <w:color w:val="000000"/>
                <w:sz w:val="18"/>
              </w:rPr>
              <w:t>LCY-EMP-AP / LCY-SHR-EMP</w:t>
            </w:r>
          </w:p>
        </w:tc>
        <w:tc>
          <w:tcPr>
            <w:tcW w:type="dxa" w:w="3135"/>
          </w:tcPr>
          <w:p>
            <w:r/>
            <w:r>
              <w:rPr>
                <w:rFonts w:ascii="Calibri" w:hAnsi="Calibri"/>
                <w:b w:val="0"/>
                <w:i w:val="0"/>
                <w:color w:val="000000"/>
                <w:sz w:val="18"/>
              </w:rPr>
              <w:t>Employment · Shareholder resolution</w:t>
            </w:r>
          </w:p>
        </w:tc>
      </w:tr>
      <w:tr>
        <w:tc>
          <w:tcPr>
            <w:tcW w:type="dxa" w:w="3135"/>
          </w:tcPr>
          <w:p>
            <w:r/>
            <w:r>
              <w:rPr>
                <w:rFonts w:ascii="Calibri" w:hAnsi="Calibri"/>
                <w:b w:val="0"/>
                <w:i w:val="0"/>
                <w:color w:val="000000"/>
                <w:sz w:val="18"/>
              </w:rPr>
              <w:t>10–11</w:t>
            </w:r>
          </w:p>
        </w:tc>
        <w:tc>
          <w:tcPr>
            <w:tcW w:type="dxa" w:w="3135"/>
          </w:tcPr>
          <w:p>
            <w:r/>
            <w:r>
              <w:rPr>
                <w:rFonts w:ascii="Calibri" w:hAnsi="Calibri"/>
                <w:b w:val="0"/>
                <w:i w:val="0"/>
                <w:color w:val="000000"/>
                <w:sz w:val="18"/>
              </w:rPr>
              <w:t>LCY-MD-EQ / LCY-OPT-A</w:t>
            </w:r>
          </w:p>
        </w:tc>
        <w:tc>
          <w:tcPr>
            <w:tcW w:type="dxa" w:w="3135"/>
          </w:tcPr>
          <w:p>
            <w:r/>
            <w:r>
              <w:rPr>
                <w:rFonts w:ascii="Calibri" w:hAnsi="Calibri"/>
                <w:b w:val="0"/>
                <w:i w:val="0"/>
                <w:color w:val="000000"/>
                <w:sz w:val="18"/>
              </w:rPr>
              <w:t>Equity side letter · Option A runway</w:t>
            </w:r>
          </w:p>
        </w:tc>
      </w:tr>
      <w:tr>
        <w:tc>
          <w:tcPr>
            <w:tcW w:type="dxa" w:w="3135"/>
          </w:tcPr>
          <w:p>
            <w:r/>
            <w:r>
              <w:rPr>
                <w:rFonts w:ascii="Calibri" w:hAnsi="Calibri"/>
                <w:b w:val="0"/>
                <w:i w:val="0"/>
                <w:color w:val="000000"/>
                <w:sz w:val="18"/>
              </w:rPr>
              <w:t>12</w:t>
            </w:r>
          </w:p>
        </w:tc>
        <w:tc>
          <w:tcPr>
            <w:tcW w:type="dxa" w:w="3135"/>
          </w:tcPr>
          <w:p>
            <w:r/>
            <w:r>
              <w:rPr>
                <w:rFonts w:ascii="Calibri" w:hAnsi="Calibri"/>
                <w:b w:val="0"/>
                <w:i w:val="0"/>
                <w:color w:val="000000"/>
                <w:sz w:val="18"/>
              </w:rPr>
              <w:t>LCY-MOI-ADH</w:t>
            </w:r>
          </w:p>
        </w:tc>
        <w:tc>
          <w:tcPr>
            <w:tcW w:type="dxa" w:w="3135"/>
          </w:tcPr>
          <w:p>
            <w:r/>
            <w:r>
              <w:rPr>
                <w:rFonts w:ascii="Calibri" w:hAnsi="Calibri"/>
                <w:b w:val="0"/>
                <w:i w:val="0"/>
                <w:color w:val="000000"/>
                <w:sz w:val="18"/>
              </w:rPr>
              <w:t>Group deed of adherence (template)</w:t>
            </w:r>
          </w:p>
        </w:tc>
      </w:tr>
      <w:tr>
        <w:tc>
          <w:tcPr>
            <w:tcW w:type="dxa" w:w="3135"/>
          </w:tcPr>
          <w:p>
            <w:r/>
            <w:r>
              <w:rPr>
                <w:rFonts w:ascii="Calibri" w:hAnsi="Calibri"/>
                <w:b w:val="0"/>
                <w:i w:val="0"/>
                <w:color w:val="000000"/>
                <w:sz w:val="18"/>
              </w:rPr>
              <w:t>13–14</w:t>
            </w:r>
          </w:p>
        </w:tc>
        <w:tc>
          <w:tcPr>
            <w:tcW w:type="dxa" w:w="3135"/>
          </w:tcPr>
          <w:p>
            <w:r/>
            <w:r>
              <w:rPr>
                <w:rFonts w:ascii="Calibri" w:hAnsi="Calibri"/>
                <w:b w:val="0"/>
                <w:i w:val="0"/>
                <w:color w:val="000000"/>
                <w:sz w:val="18"/>
              </w:rPr>
              <w:t>LCY-DIR-IND / LCY-SHR-DO</w:t>
            </w:r>
          </w:p>
        </w:tc>
        <w:tc>
          <w:tcPr>
            <w:tcW w:type="dxa" w:w="3135"/>
          </w:tcPr>
          <w:p>
            <w:r/>
            <w:r>
              <w:rPr>
                <w:rFonts w:ascii="Calibri" w:hAnsi="Calibri"/>
                <w:b w:val="0"/>
                <w:i w:val="0"/>
                <w:color w:val="000000"/>
                <w:sz w:val="18"/>
              </w:rPr>
              <w:t>D&amp;O protections · SHR</w:t>
            </w:r>
          </w:p>
        </w:tc>
      </w:tr>
      <w:tr>
        <w:tc>
          <w:tcPr>
            <w:tcW w:type="dxa" w:w="3135"/>
          </w:tcPr>
          <w:p>
            <w:r/>
            <w:r>
              <w:rPr>
                <w:rFonts w:ascii="Calibri" w:hAnsi="Calibri"/>
                <w:b w:val="0"/>
                <w:i w:val="0"/>
                <w:color w:val="000000"/>
                <w:sz w:val="18"/>
              </w:rPr>
              <w:t>15–17</w:t>
            </w:r>
          </w:p>
        </w:tc>
        <w:tc>
          <w:tcPr>
            <w:tcW w:type="dxa" w:w="3135"/>
          </w:tcPr>
          <w:p>
            <w:r/>
            <w:r>
              <w:rPr>
                <w:rFonts w:ascii="Calibri" w:hAnsi="Calibri"/>
                <w:b w:val="0"/>
                <w:i w:val="0"/>
                <w:color w:val="000000"/>
                <w:sz w:val="18"/>
              </w:rPr>
              <w:t>LCY-GOV-SIGN / LCY-BRD</w:t>
            </w:r>
          </w:p>
        </w:tc>
        <w:tc>
          <w:tcPr>
            <w:tcW w:type="dxa" w:w="3135"/>
          </w:tcPr>
          <w:p>
            <w:r/>
            <w:r>
              <w:rPr>
                <w:rFonts w:ascii="Calibri" w:hAnsi="Calibri"/>
                <w:b w:val="0"/>
                <w:i w:val="0"/>
                <w:color w:val="000000"/>
                <w:sz w:val="18"/>
              </w:rPr>
              <w:t>Signing matrix · Board minutes Phase 1 &amp; 2</w:t>
            </w:r>
          </w:p>
        </w:tc>
      </w:tr>
    </w:tbl>
    <w:p/>
    <w:p>
      <w:pPr>
        <w:jc w:val="both"/>
      </w:pPr>
      <w:r>
        <w:rPr>
          <w:rFonts w:ascii="Calibri" w:hAnsi="Calibri"/>
          <w:b w:val="0"/>
          <w:i w:val="0"/>
          <w:color w:val="000000"/>
          <w:sz w:val="20"/>
        </w:rPr>
        <w:t>Each part starts on a new page with its own footer label.</w:t>
      </w:r>
    </w:p>
    <w:p>
      <w:pPr>
        <w:spacing w:before="240"/>
      </w:pPr>
      <w:r>
        <w:rPr>
          <w:rFonts w:ascii="Calibri" w:hAnsi="Calibri"/>
          <w:b/>
          <w:i w:val="0"/>
          <w:color w:val="C9A432"/>
          <w:sz w:val="24"/>
        </w:rPr>
        <w:t>7. Before signing — blockers</w:t>
      </w:r>
    </w:p>
    <w:p>
      <w:pPr>
        <w:pStyle w:val="ListBullet"/>
      </w:pPr>
      <w:r>
        <w:rPr>
          <w:rFonts w:ascii="Calibri" w:hAnsi="Calibri"/>
          <w:b w:val="0"/>
          <w:i w:val="0"/>
          <w:color w:val="000000"/>
          <w:sz w:val="20"/>
        </w:rPr>
        <w:t>Payroll: reconcile Jul 2025–present PAYE/NIS for €2k net periods (ratification alone insufficient).</w:t>
      </w:r>
    </w:p>
    <w:p>
      <w:pPr>
        <w:pStyle w:val="ListBullet"/>
      </w:pPr>
      <w:r>
        <w:rPr>
          <w:rFonts w:ascii="Calibri" w:hAnsi="Calibri"/>
          <w:b w:val="0"/>
          <w:i w:val="0"/>
          <w:color w:val="000000"/>
          <w:sz w:val="20"/>
        </w:rPr>
        <w:t>Legal advice: Sybaris must obtain independent counsel advice before signing (Consultancy Agreement §7.1(f)).</w:t>
      </w:r>
    </w:p>
    <w:p>
      <w:pPr>
        <w:pStyle w:val="ListBullet"/>
      </w:pPr>
      <w:r>
        <w:rPr>
          <w:rFonts w:ascii="Calibri" w:hAnsi="Calibri"/>
          <w:b w:val="0"/>
          <w:i w:val="0"/>
          <w:color w:val="000000"/>
          <w:sz w:val="20"/>
        </w:rPr>
        <w:t>D&amp;O: broker quote; secretary named as insured.</w:t>
      </w:r>
    </w:p>
    <w:p>
      <w:pPr>
        <w:pStyle w:val="ListBullet"/>
      </w:pPr>
      <w:r>
        <w:rPr>
          <w:rFonts w:ascii="Calibri" w:hAnsi="Calibri"/>
          <w:b w:val="0"/>
          <w:i w:val="0"/>
          <w:color w:val="000000"/>
          <w:sz w:val="20"/>
        </w:rPr>
        <w:t>Annex B: primary backstop if Group entities refuse deed of adherence.</w:t>
      </w:r>
    </w:p>
    <w:p>
      <w:pPr>
        <w:pStyle w:val="ListBullet"/>
      </w:pPr>
      <w:r>
        <w:rPr>
          <w:rFonts w:ascii="Calibri" w:hAnsi="Calibri"/>
          <w:b w:val="0"/>
          <w:i w:val="0"/>
          <w:color w:val="000000"/>
          <w:sz w:val="20"/>
        </w:rPr>
        <w:t>Do not send internal investor pushback notes with founder pack.</w:t>
      </w:r>
    </w:p>
    <w:p>
      <w:pPr>
        <w:spacing w:before="240"/>
      </w:pPr>
      <w:r>
        <w:rPr>
          <w:rFonts w:ascii="Calibri" w:hAnsi="Calibri"/>
          <w:b/>
          <w:i w:val="0"/>
          <w:color w:val="C9A432"/>
          <w:sz w:val="24"/>
        </w:rPr>
        <w:t>8. Regeneration</w:t>
      </w:r>
    </w:p>
    <w:p>
      <w:pPr>
        <w:jc w:val="both"/>
      </w:pPr>
      <w:r>
        <w:rPr>
          <w:rFonts w:ascii="Calibri" w:hAnsi="Calibri"/>
          <w:b w:val="0"/>
          <w:i w:val="0"/>
          <w:color w:val="000000"/>
          <w:sz w:val="20"/>
        </w:rPr>
        <w:t>Source templates live in `Alexander/`. Regenerate this Word file:</w:t>
      </w:r>
    </w:p>
    <w:p>
      <w:pPr>
        <w:jc w:val="both"/>
      </w:pPr>
      <w:r>
        <w:rPr>
          <w:rFonts w:ascii="Calibri" w:hAnsi="Calibri"/>
          <w:b w:val="0"/>
          <w:i w:val="0"/>
          <w:color w:val="000000"/>
          <w:sz w:val="20"/>
        </w:rPr>
        <w:t>`python scripts/generate-alexander-legal-pack.py`</w:t>
      </w:r>
    </w:p>
    <w:p>
      <w:pPr>
        <w:jc w:val="both"/>
      </w:pPr>
      <w:r>
        <w:rPr>
          <w:rFonts w:ascii="Calibri" w:hAnsi="Calibri"/>
          <w:b w:val="0"/>
          <w:i w:val="0"/>
          <w:color w:val="000000"/>
          <w:sz w:val="20"/>
        </w:rPr>
        <w:t>Confidential consultancy HTML is local only (not in git); counsel receives this .docx plus `COUNSEL-NEGOTIATION-BRIEF.md`.</w:t>
      </w:r>
    </w:p>
    <w:p>
      <w:pPr>
        <w:jc w:val="both"/>
      </w:pPr>
      <w:r>
        <w:rPr>
          <w:rFonts w:ascii="Calibri" w:hAnsi="Calibri"/>
          <w:b w:val="0"/>
          <w:i w:val="0"/>
          <w:color w:val="000000"/>
          <w:sz w:val="20"/>
        </w:rPr>
        <w:t>Lighthief Cyprus Ltd · HE 477423 · solarfarms.cy · DRAFT v8 — May 2026</w:t>
      </w:r>
    </w:p>
    <w:p>
      <w:pPr>
        <w:sectPr>
          <w:footerReference w:type="default" r:id="rId10"/>
          <w:pgSz w:w="12240" w:h="15840"/>
          <w:pgMar w:top="1134" w:right="1417" w:bottom="1247" w:left="1417" w:header="720" w:footer="720" w:gutter="0"/>
          <w:cols w:space="720"/>
          <w:docGrid w:linePitch="360"/>
          <w:pgNumType w:start="1"/>
        </w:sectPr>
      </w:pPr>
    </w:p>
    <w:p>
      <w:pPr>
        <w:jc w:val="center"/>
      </w:pPr>
      <w:r>
        <w:rPr>
          <w:rFonts w:ascii="Calibri" w:hAnsi="Calibri"/>
          <w:b/>
          <w:i w:val="0"/>
          <w:color w:val="990000"/>
          <w:sz w:val="18"/>
        </w:rPr>
        <w:t>STRICTLY CONFIDENTIAL — LEGALLY PRIVILEGED — DRAFT FOR COUNSEL REVIEW</w:t>
      </w:r>
    </w:p>
    <w:p>
      <w:pPr>
        <w:jc w:val="center"/>
      </w:pPr>
      <w:r>
        <w:rPr>
          <w:rFonts w:ascii="Calibri" w:hAnsi="Calibri"/>
          <w:b/>
          <w:i w:val="0"/>
          <w:color w:val="1A365D"/>
          <w:sz w:val="28"/>
        </w:rPr>
        <w:t>TEAM OPERATIONAL CONSULTANCY AGREEMENT</w:t>
      </w:r>
    </w:p>
    <w:p>
      <w:pPr>
        <w:jc w:val="center"/>
      </w:pPr>
      <w:r>
        <w:rPr>
          <w:rFonts w:ascii="Calibri" w:hAnsi="Calibri"/>
          <w:b w:val="0"/>
          <w:i/>
          <w:color w:val="404040"/>
          <w:sz w:val="22"/>
        </w:rPr>
        <w:t>BESS EPC Portfolio &amp; Future Business Operations — Lighthief Cyprus Ltd</w:t>
      </w:r>
    </w:p>
    <w:p/>
    <w:p>
      <w:pPr>
        <w:jc w:val="both"/>
      </w:pPr>
      <w:r>
        <w:rPr>
          <w:rFonts w:ascii="Calibri" w:hAnsi="Calibri"/>
          <w:b w:val="0"/>
          <w:i w:val="0"/>
          <w:color w:val="000000"/>
          <w:sz w:val="20"/>
        </w:rPr>
        <w:br/>
        <w:t>Date: ______________________ 2026</w:t>
        <w:br/>
        <w:t xml:space="preserve">    |  </w:t>
        <w:br/>
        <w:t xml:space="preserve">  Reference: LCY-MOI-TOCA-2026-001</w:t>
        <w:br/>
        <w:t xml:space="preserve">    |  </w:t>
        <w:br/>
        <w:t xml:space="preserve">  Executed as a Deed</w:t>
        <w:br/>
      </w:r>
    </w:p>
    <w:p>
      <w:r>
        <w:rPr>
          <w:rFonts w:ascii="Calibri" w:hAnsi="Calibri"/>
          <w:b w:val="0"/>
          <w:i w:val="0"/>
          <w:color w:val="000000"/>
          <w:sz w:val="20"/>
        </w:rPr>
        <w:t>═══ PARTIES ═══</w:t>
      </w:r>
    </w:p>
    <w:p>
      <w:r>
        <w:rPr>
          <w:rFonts w:ascii="Calibri" w:hAnsi="Calibri"/>
          <w:b/>
          <w:i w:val="0"/>
          <w:color w:val="1A365D"/>
          <w:sz w:val="20"/>
        </w:rPr>
        <w:t>The Company</w:t>
      </w:r>
    </w:p>
    <w:p>
      <w:r>
        <w:rPr>
          <w:rFonts w:ascii="Calibri" w:hAnsi="Calibri"/>
          <w:b w:val="0"/>
          <w:i w:val="0"/>
          <w:color w:val="000000"/>
          <w:sz w:val="18"/>
        </w:rPr>
        <w:t>Lighthief Cyprus Ltd</w:t>
      </w:r>
    </w:p>
    <w:p>
      <w:r>
        <w:rPr>
          <w:rFonts w:ascii="Calibri" w:hAnsi="Calibri"/>
          <w:b w:val="0"/>
          <w:i w:val="0"/>
          <w:color w:val="000000"/>
          <w:sz w:val="18"/>
        </w:rPr>
        <w:t>Company No. HE 477423</w:t>
      </w:r>
    </w:p>
    <w:p>
      <w:r>
        <w:rPr>
          <w:rFonts w:ascii="Calibri" w:hAnsi="Calibri"/>
          <w:b w:val="0"/>
          <w:i w:val="0"/>
          <w:color w:val="000000"/>
          <w:sz w:val="18"/>
        </w:rPr>
        <w:t>TIN: 60187188Q</w:t>
      </w:r>
    </w:p>
    <w:p>
      <w:r>
        <w:rPr>
          <w:rFonts w:ascii="Calibri" w:hAnsi="Calibri"/>
          <w:b w:val="0"/>
          <w:i w:val="0"/>
          <w:color w:val="000000"/>
          <w:sz w:val="18"/>
        </w:rPr>
        <w:t>Registered: Agiou Andreou 241, AG TRIAS COURT, Flat/Office 31, 3036 Limassol, Cyprus</w:t>
      </w:r>
    </w:p>
    <w:p>
      <w:r>
        <w:rPr>
          <w:rFonts w:ascii="Calibri" w:hAnsi="Calibri"/>
          <w:b w:val="0"/>
          <w:i w:val="0"/>
          <w:color w:val="000000"/>
          <w:sz w:val="18"/>
        </w:rPr>
        <w:t>Operational: 28 October Ave 249, Lophitis Business Center 1, Office 201, 3035 Limassol</w:t>
      </w:r>
    </w:p>
    <w:p>
      <w:r>
        <w:rPr>
          <w:rFonts w:ascii="Calibri" w:hAnsi="Calibri"/>
          <w:b w:val="0"/>
          <w:i w:val="0"/>
          <w:color w:val="000000"/>
          <w:sz w:val="18"/>
        </w:rPr>
        <w:t>Director: Alexander Papacosta (Cyprus ID: 1241318)</w:t>
      </w:r>
    </w:p>
    <w:p>
      <w:r>
        <w:rPr>
          <w:rFonts w:ascii="Calibri" w:hAnsi="Calibri"/>
          <w:b w:val="0"/>
          <w:i w:val="0"/>
          <w:color w:val="000000"/>
          <w:sz w:val="18"/>
        </w:rPr>
        <w:t>Shareholder: Lighthief International Ltd</w:t>
      </w:r>
    </w:p>
    <w:p>
      <w:r>
        <w:rPr>
          <w:rFonts w:ascii="Calibri" w:hAnsi="Calibri"/>
          <w:b w:val="0"/>
          <w:i w:val="0"/>
          <w:color w:val="000000"/>
          <w:sz w:val="18"/>
        </w:rPr>
        <w:t>UBO: Dr. Arkadiusz Sybaris</w:t>
      </w:r>
    </w:p>
    <w:p>
      <w:r>
        <w:rPr>
          <w:rFonts w:ascii="Calibri" w:hAnsi="Calibri"/>
          <w:b w:val="0"/>
          <w:i w:val="0"/>
          <w:color w:val="000000"/>
          <w:sz w:val="18"/>
        </w:rPr>
        <w:t>(hereinafter "the Company")</w:t>
      </w:r>
    </w:p>
    <w:p>
      <w:r>
        <w:rPr>
          <w:rFonts w:ascii="Calibri" w:hAnsi="Calibri"/>
          <w:b/>
          <w:i w:val="0"/>
          <w:color w:val="1A365D"/>
          <w:sz w:val="20"/>
        </w:rPr>
        <w:t>The Consultant</w:t>
      </w:r>
    </w:p>
    <w:p>
      <w:r>
        <w:rPr>
          <w:rFonts w:ascii="Calibri" w:hAnsi="Calibri"/>
          <w:b w:val="0"/>
          <w:i w:val="0"/>
          <w:color w:val="000000"/>
          <w:sz w:val="18"/>
        </w:rPr>
        <w:t>Moi Ostrov Ltd</w:t>
      </w:r>
    </w:p>
    <w:p>
      <w:r>
        <w:rPr>
          <w:rFonts w:ascii="Calibri" w:hAnsi="Calibri"/>
          <w:b w:val="0"/>
          <w:i w:val="0"/>
          <w:color w:val="000000"/>
          <w:sz w:val="18"/>
        </w:rPr>
        <w:t>Company No. HE 319483</w:t>
      </w:r>
    </w:p>
    <w:p>
      <w:r>
        <w:rPr>
          <w:rFonts w:ascii="Calibri" w:hAnsi="Calibri"/>
          <w:b w:val="0"/>
          <w:i w:val="0"/>
          <w:color w:val="000000"/>
          <w:sz w:val="18"/>
        </w:rPr>
        <w:t>Registered: 7 Nikolaou Ellina, Shop 2, 8016 Paphos, Cyprus</w:t>
      </w:r>
    </w:p>
    <w:p>
      <w:r>
        <w:rPr>
          <w:rFonts w:ascii="Calibri" w:hAnsi="Calibri"/>
          <w:b w:val="0"/>
          <w:i w:val="0"/>
          <w:color w:val="000000"/>
          <w:sz w:val="18"/>
        </w:rPr>
        <w:t>Director: Alexander Papacosta (Cyprus ID: 1241318)</w:t>
      </w:r>
    </w:p>
    <w:p>
      <w:r>
        <w:rPr>
          <w:rFonts w:ascii="Calibri" w:hAnsi="Calibri"/>
          <w:b w:val="0"/>
          <w:i w:val="0"/>
          <w:color w:val="000000"/>
          <w:sz w:val="18"/>
        </w:rPr>
        <w:t>Email: al@moiostrov.com</w:t>
      </w:r>
    </w:p>
    <w:p>
      <w:r>
        <w:rPr>
          <w:rFonts w:ascii="Calibri" w:hAnsi="Calibri"/>
          <w:b w:val="0"/>
          <w:i w:val="0"/>
          <w:color w:val="000000"/>
          <w:sz w:val="18"/>
        </w:rPr>
        <w:t>Tel: +357 99 164 158</w:t>
      </w:r>
    </w:p>
    <w:p>
      <w:r>
        <w:rPr>
          <w:rFonts w:ascii="Calibri" w:hAnsi="Calibri"/>
          <w:b w:val="0"/>
          <w:i w:val="0"/>
          <w:color w:val="000000"/>
          <w:sz w:val="18"/>
        </w:rPr>
        <w:t>(hereinafter "the Consultant")</w:t>
      </w:r>
    </w:p>
    <w:p/>
    <w:p>
      <w:pPr>
        <w:jc w:val="both"/>
      </w:pPr>
      <w:r>
        <w:rPr>
          <w:rFonts w:ascii="Calibri" w:hAnsi="Calibri"/>
          <w:b w:val="0"/>
          <w:i w:val="0"/>
          <w:color w:val="000000"/>
          <w:sz w:val="20"/>
        </w:rPr>
        <w:t>The Company and the Consultant are each a "Party" and together the "Parties".</w:t>
      </w:r>
    </w:p>
    <w:p>
      <w:r>
        <w:rPr>
          <w:rFonts w:ascii="Calibri" w:hAnsi="Calibri"/>
          <w:b w:val="0"/>
          <w:i w:val="0"/>
          <w:color w:val="000000"/>
          <w:sz w:val="20"/>
        </w:rPr>
        <w:t>═══ RECITALS ═══</w:t>
      </w:r>
    </w:p>
    <w:p>
      <w:pPr>
        <w:spacing w:before="280"/>
      </w:pPr>
      <w:r>
        <w:rPr>
          <w:rFonts w:ascii="Calibri" w:hAnsi="Calibri"/>
          <w:b/>
          <w:i w:val="0"/>
          <w:color w:val="C9A432"/>
          <w:sz w:val="24"/>
        </w:rPr>
        <w:t>Recitals</w:t>
      </w:r>
    </w:p>
    <w:p>
      <w:pPr>
        <w:jc w:val="both"/>
      </w:pPr>
      <w:r>
        <w:rPr>
          <w:rFonts w:ascii="Calibri" w:hAnsi="Calibri"/>
          <w:b w:val="0"/>
          <w:i w:val="0"/>
          <w:color w:val="000000"/>
          <w:sz w:val="20"/>
        </w:rPr>
        <w:t>WHEREAS:</w:t>
      </w:r>
    </w:p>
    <w:p>
      <w:pPr>
        <w:jc w:val="both"/>
      </w:pPr>
      <w:r>
        <w:rPr>
          <w:rFonts w:ascii="Calibri" w:hAnsi="Calibri"/>
          <w:b w:val="0"/>
          <w:i w:val="0"/>
          <w:color w:val="000000"/>
          <w:sz w:val="20"/>
        </w:rPr>
        <w:t>(A) The Company is engaged as the exclusive EPC contractor for the delivery of Battery Energy Storage Systems (BESS) across 51 solar parks in Cyprus, comprising a portfolio of approximately 881.78 MWh, under distribution and EPC agreements with Linyang Energy, Voltus Energy, and end clients (the "Existing Project").</w:t>
      </w:r>
    </w:p>
    <w:p>
      <w:pPr>
        <w:jc w:val="both"/>
      </w:pPr>
      <w:r>
        <w:rPr>
          <w:rFonts w:ascii="Calibri" w:hAnsi="Calibri"/>
          <w:b w:val="0"/>
          <w:i w:val="0"/>
          <w:color w:val="000000"/>
          <w:sz w:val="20"/>
        </w:rPr>
        <w:t>(B) Alexander Papacosta, the sole director of the Consultant and currently a director of the Company, personally originated, structured, and secured the Existing Project, including establishing the Linyang distribution partnership, negotiating EPC terms with all six client groups, obtaining SCADA/EMS quotations from Voltus Energy, and developing the entire Cyprus BESS pipeline.</w:t>
      </w:r>
    </w:p>
    <w:p>
      <w:pPr>
        <w:jc w:val="both"/>
      </w:pPr>
      <w:r>
        <w:rPr>
          <w:rFonts w:ascii="Calibri" w:hAnsi="Calibri"/>
          <w:b w:val="0"/>
          <w:i w:val="0"/>
          <w:color w:val="000000"/>
          <w:sz w:val="20"/>
        </w:rPr>
        <w:t>(C) In addition to origination, the Consultant provides ongoing operational services essential to the Company's business, including project management, team coordination and supervision, subcontractor procurement and oversight, client relationship management, supply chain management, EPC execution planning, and quality assurance — as more particularly described in Schedule 3.</w:t>
      </w:r>
    </w:p>
    <w:p>
      <w:pPr>
        <w:jc w:val="both"/>
      </w:pPr>
      <w:r>
        <w:rPr>
          <w:rFonts w:ascii="Calibri" w:hAnsi="Calibri"/>
          <w:b w:val="0"/>
          <w:i w:val="0"/>
          <w:color w:val="000000"/>
          <w:sz w:val="20"/>
        </w:rPr>
        <w:t>(D) The Company anticipates future business beyond the Existing Project, including but not limited to: fund-generated EPC contracts, management fees, operations and maintenance (O&amp;M) revenue, energy trading, BESS supply margins, and new client acquisitions (the "Future Business").</w:t>
      </w:r>
    </w:p>
    <w:p>
      <w:pPr>
        <w:jc w:val="both"/>
      </w:pPr>
      <w:r>
        <w:rPr>
          <w:rFonts w:ascii="Calibri" w:hAnsi="Calibri"/>
          <w:b w:val="0"/>
          <w:i w:val="0"/>
          <w:color w:val="000000"/>
          <w:sz w:val="20"/>
        </w:rPr>
        <w:t>(E) The Parties wish to formalise a two-part fee structure recognising: (i) the Consultant's entitlement to an Origination Fee for the Existing Project (Part A); and (ii) a Team Operations Fee on future Cyprus BESS EPC and O&amp;M business as described in Part B and Clause 3.1A.</w:t>
      </w:r>
    </w:p>
    <w:p>
      <w:pPr>
        <w:jc w:val="both"/>
      </w:pPr>
      <w:r>
        <w:rPr>
          <w:rFonts w:ascii="Calibri" w:hAnsi="Calibri"/>
          <w:b w:val="0"/>
          <w:i w:val="0"/>
          <w:color w:val="000000"/>
          <w:sz w:val="20"/>
        </w:rPr>
        <w:t>(F) Lighthief International Ltd, as the sole shareholder of the Company, has approved this Agreement by way of a Written Shareholder Resolution annexed hereto as Annex A. The ultimate beneficial owner, Dr. Arkadiusz Sybaris, has provided a personal undertaking annexed hereto as Annex B.</w:t>
      </w:r>
    </w:p>
    <w:p>
      <w:pPr>
        <w:jc w:val="both"/>
      </w:pPr>
      <w:r>
        <w:rPr>
          <w:rFonts w:ascii="Calibri" w:hAnsi="Calibri"/>
          <w:b w:val="0"/>
          <w:i w:val="0"/>
          <w:color w:val="000000"/>
          <w:sz w:val="20"/>
        </w:rPr>
        <w:t>(G) The Parties intend that this Agreement shall be a binding contractual obligation of the Company for the Minimum Term and on the terms set out in Clause 5, including survival of accrued fee entitlements on signed contracts, and shall be disclosed to new shareholders as a Pre-Existing Obligation pursuant to Clause 6.3, without prejudice to the statutory rights of shareholders under the Companies Law, Cap. 113.</w:t>
      </w:r>
    </w:p>
    <w:p>
      <w:pPr>
        <w:jc w:val="both"/>
      </w:pPr>
      <w:r>
        <w:rPr>
          <w:rFonts w:ascii="Calibri" w:hAnsi="Calibri"/>
          <w:b w:val="0"/>
          <w:i w:val="0"/>
          <w:color w:val="000000"/>
          <w:sz w:val="20"/>
        </w:rPr>
        <w:t>NOW THIS DEED WITNESSES as follows:</w:t>
      </w:r>
    </w:p>
    <w:p>
      <w:r>
        <w:rPr>
          <w:rFonts w:ascii="Calibri" w:hAnsi="Calibri"/>
          <w:b w:val="0"/>
          <w:i w:val="0"/>
          <w:color w:val="000000"/>
          <w:sz w:val="20"/>
        </w:rPr>
        <w:t>═══ CLAUSE 1 — DEFINITIONS ═══</w:t>
      </w:r>
    </w:p>
    <w:p>
      <w:pPr>
        <w:spacing w:before="280"/>
      </w:pPr>
      <w:r>
        <w:rPr>
          <w:rFonts w:ascii="Calibri" w:hAnsi="Calibri"/>
          <w:b/>
          <w:i w:val="0"/>
          <w:color w:val="C9A432"/>
          <w:sz w:val="24"/>
        </w:rPr>
        <w:t>1. Definitions</w:t>
      </w:r>
    </w:p>
    <w:p>
      <w:pPr>
        <w:jc w:val="both"/>
      </w:pPr>
      <w:r>
        <w:rPr>
          <w:rFonts w:ascii="Calibri" w:hAnsi="Calibri"/>
          <w:b w:val="0"/>
          <w:i w:val="0"/>
          <w:color w:val="000000"/>
          <w:sz w:val="20"/>
        </w:rPr>
        <w:t>1.1 In this Agreement:</w:t>
      </w:r>
    </w:p>
    <w:p>
      <w:pPr>
        <w:jc w:val="both"/>
      </w:pPr>
      <w:r>
        <w:rPr>
          <w:rFonts w:ascii="Calibri" w:hAnsi="Calibri"/>
          <w:b w:val="0"/>
          <w:i w:val="0"/>
          <w:color w:val="000000"/>
          <w:sz w:val="20"/>
        </w:rPr>
        <w:br/>
        <w:t xml:space="preserve">  "Client Price" means the total price invoiced by the Company to an end client (or any intermediary on behalf of an end client) for the supply, installation, and commissioning of a BESS system at a Park, as set out in the EPC contract between the Company and such client, inclusive of all EPC works, project management, and margin.</w:t>
        <w:br/>
      </w:r>
    </w:p>
    <w:p>
      <w:pPr>
        <w:jc w:val="both"/>
      </w:pPr>
      <w:r>
        <w:rPr>
          <w:rFonts w:ascii="Calibri" w:hAnsi="Calibri"/>
          <w:b w:val="0"/>
          <w:i w:val="0"/>
          <w:color w:val="000000"/>
          <w:sz w:val="20"/>
        </w:rPr>
        <w:br/>
        <w:t xml:space="preserve">  "CIF Cost" means the landed cost of BESS equipment (battery containers, PCS/MV skids, and associated OEM hardware) delivered CIF Limassol, Cyprus, as invoiced by Linyang/Solarfun to the Company, including import duties and customs clearance.</w:t>
        <w:br/>
      </w:r>
    </w:p>
    <w:p>
      <w:pPr>
        <w:jc w:val="both"/>
      </w:pPr>
      <w:r>
        <w:rPr>
          <w:rFonts w:ascii="Calibri" w:hAnsi="Calibri"/>
          <w:b w:val="0"/>
          <w:i w:val="0"/>
          <w:color w:val="000000"/>
          <w:sz w:val="20"/>
        </w:rPr>
        <w:br/>
        <w:t xml:space="preserve">  "EPC Cost" means all costs incurred by the Company in delivering the BESS to the end client, excluding CIF Cost, including but not limited to: civil works, electrical works, EMS/SCADA (Voltus), lightning protection (DEHN), logistics, crane hire, cabling, commissioning, project management, insurance, and all other installation and compliance costs.</w:t>
        <w:br/>
      </w:r>
    </w:p>
    <w:p>
      <w:pPr>
        <w:jc w:val="both"/>
      </w:pPr>
      <w:r>
        <w:rPr>
          <w:rFonts w:ascii="Calibri" w:hAnsi="Calibri"/>
          <w:b w:val="0"/>
          <w:i w:val="0"/>
          <w:color w:val="000000"/>
          <w:sz w:val="20"/>
        </w:rPr>
        <w:br/>
        <w:t xml:space="preserve">  "Net Margin" means, for each Park or revenue stream:</w:t>
        <w:br/>
      </w:r>
    </w:p>
    <w:p>
      <w:pPr>
        <w:jc w:val="both"/>
      </w:pPr>
      <w:r>
        <w:rPr>
          <w:rFonts w:ascii="Calibri" w:hAnsi="Calibri"/>
          <w:b w:val="0"/>
          <w:i w:val="0"/>
          <w:color w:val="000000"/>
          <w:sz w:val="20"/>
        </w:rPr>
        <w:br/>
        <w:t xml:space="preserve">  Net Margin = Client Price − CIF Cost − EPC Cost</w:t>
        <w:br/>
      </w:r>
    </w:p>
    <w:p>
      <w:pPr>
        <w:jc w:val="both"/>
      </w:pPr>
      <w:r>
        <w:rPr>
          <w:rFonts w:ascii="Calibri" w:hAnsi="Calibri"/>
          <w:b w:val="0"/>
          <w:i w:val="0"/>
          <w:color w:val="000000"/>
          <w:sz w:val="20"/>
        </w:rPr>
        <w:br/>
        <w:t xml:space="preserve">  being the gross profit earned by the Company before corporate overheads, tax, and the Fee.</w:t>
        <w:br/>
      </w:r>
    </w:p>
    <w:p>
      <w:pPr>
        <w:jc w:val="both"/>
      </w:pPr>
      <w:r>
        <w:rPr>
          <w:rFonts w:ascii="Calibri" w:hAnsi="Calibri"/>
          <w:b w:val="0"/>
          <w:i w:val="0"/>
          <w:color w:val="000000"/>
          <w:sz w:val="20"/>
        </w:rPr>
        <w:br/>
        <w:t xml:space="preserve">  "Net Revenue" means, for revenue streams that do not involve CIF/EPC cost structures (e.g. management fees, O&amp;M contracts, energy trading, fund carried interest, advisory fees), the total revenue received by the Company less any direct third-party costs specifically attributable to delivering that service.</w:t>
        <w:br/>
      </w:r>
    </w:p>
    <w:p>
      <w:pPr>
        <w:jc w:val="both"/>
      </w:pPr>
      <w:r>
        <w:rPr>
          <w:rFonts w:ascii="Calibri" w:hAnsi="Calibri"/>
          <w:b w:val="0"/>
          <w:i w:val="0"/>
          <w:color w:val="000000"/>
          <w:sz w:val="20"/>
        </w:rPr>
        <w:br/>
        <w:t xml:space="preserve">  "Origination Fee" means thirty percent (30%) of the Net Margin on the Existing Project, payable under Part A.</w:t>
        <w:br/>
      </w:r>
    </w:p>
    <w:p>
      <w:pPr>
        <w:jc w:val="both"/>
      </w:pPr>
      <w:r>
        <w:rPr>
          <w:rFonts w:ascii="Calibri" w:hAnsi="Calibri"/>
          <w:b w:val="0"/>
          <w:i w:val="0"/>
          <w:color w:val="000000"/>
          <w:sz w:val="20"/>
        </w:rPr>
        <w:br/>
        <w:t xml:space="preserve">  "Team Operations Fee" means thirty percent (30%) of the Net Margin or Net Revenue (as applicable) on all Company business, payable under Part B, and controlled and distributed by the Director at his discretion to the operational team.</w:t>
        <w:br/>
      </w:r>
    </w:p>
    <w:p>
      <w:pPr>
        <w:jc w:val="both"/>
      </w:pPr>
      <w:r>
        <w:rPr>
          <w:rFonts w:ascii="Calibri" w:hAnsi="Calibri"/>
          <w:b w:val="0"/>
          <w:i w:val="0"/>
          <w:color w:val="000000"/>
          <w:sz w:val="20"/>
        </w:rPr>
        <w:br/>
        <w:t xml:space="preserve">  "Park" means each individual solar park and its associated BESS installation, as listed in Schedule 1.</w:t>
        <w:br/>
      </w:r>
    </w:p>
    <w:p>
      <w:pPr>
        <w:jc w:val="both"/>
      </w:pPr>
      <w:r>
        <w:rPr>
          <w:rFonts w:ascii="Calibri" w:hAnsi="Calibri"/>
          <w:b w:val="0"/>
          <w:i w:val="0"/>
          <w:color w:val="000000"/>
          <w:sz w:val="20"/>
        </w:rPr>
        <w:br/>
        <w:t xml:space="preserve">  "Existing Project" means the entire portfolio of 51 Parks listed in Schedule 1, and any additional BESS parks added to the Company's EPC portfolio that were originated or introduced by Alexander Papacosta prior to the date of this Agreement.</w:t>
        <w:br/>
      </w:r>
    </w:p>
    <w:p>
      <w:pPr>
        <w:jc w:val="both"/>
      </w:pPr>
      <w:r>
        <w:rPr>
          <w:rFonts w:ascii="Calibri" w:hAnsi="Calibri"/>
          <w:b w:val="0"/>
          <w:i w:val="0"/>
          <w:color w:val="000000"/>
          <w:sz w:val="20"/>
        </w:rPr>
        <w:br/>
        <w:t xml:space="preserve">  "Future Business" means all revenue earned by the Company from any source whatsoever that does not form part of the Existing Project, including but not limited to: (i) fund-generated EPC contracts; (ii) fund management fees; (iii) operations and maintenance (O&amp;M) contracts; (iv) energy trading or energy arbitrage revenue; (v) BESS supply margins on new projects; (vi) consultancy, advisory, or engineering fees; (vii) carried interest or performance fees from any fund vehicle; (viii) new client EPC contracts; and (ix) any other revenue stream of the Company.</w:t>
        <w:br/>
      </w:r>
    </w:p>
    <w:p>
      <w:pPr>
        <w:jc w:val="both"/>
      </w:pPr>
      <w:r>
        <w:rPr>
          <w:rFonts w:ascii="Calibri" w:hAnsi="Calibri"/>
          <w:b w:val="0"/>
          <w:i w:val="0"/>
          <w:color w:val="000000"/>
          <w:sz w:val="20"/>
        </w:rPr>
        <w:br/>
        <w:t xml:space="preserve">  "Director" means Alexander Papacosta (Cyprus ID: 1241318) in his capacity as a director of the Company and director of the Consultant.</w:t>
        <w:br/>
      </w:r>
    </w:p>
    <w:p>
      <w:pPr>
        <w:jc w:val="both"/>
      </w:pPr>
      <w:r>
        <w:rPr>
          <w:rFonts w:ascii="Calibri" w:hAnsi="Calibri"/>
          <w:b w:val="0"/>
          <w:i w:val="0"/>
          <w:color w:val="000000"/>
          <w:sz w:val="20"/>
        </w:rPr>
        <w:br/>
        <w:t xml:space="preserve">  "Protected Matter" has the meaning given in Clause 5.3.</w:t>
        <w:br/>
      </w:r>
    </w:p>
    <w:p>
      <w:pPr>
        <w:jc w:val="both"/>
      </w:pPr>
      <w:r>
        <w:rPr>
          <w:rFonts w:ascii="Calibri" w:hAnsi="Calibri"/>
          <w:b w:val="0"/>
          <w:i w:val="0"/>
          <w:color w:val="000000"/>
          <w:sz w:val="20"/>
        </w:rPr>
        <w:br/>
        <w:t xml:space="preserve">  "Group" means the Company and every entity that is, directly or indirectly, controlled by the same ultimate beneficial owner as the Company's shareholder (currently Dr. Arkadiusz Sybaris), including without limitation Lighthief International Ltd, any Polish, EU or other affiliate, and any entity formed after the date of this Agreement in which Dr. Arkadiusz Sybaris (alone or with persons acting in concert with him) holds, directly or indirectly, more than fifty percent (50%) of the voting rights, equity, or the right to appoint a majority of the board.</w:t>
        <w:br/>
      </w:r>
    </w:p>
    <w:p>
      <w:pPr>
        <w:jc w:val="both"/>
      </w:pPr>
      <w:r>
        <w:rPr>
          <w:rFonts w:ascii="Calibri" w:hAnsi="Calibri"/>
          <w:b w:val="0"/>
          <w:i w:val="0"/>
          <w:color w:val="000000"/>
          <w:sz w:val="20"/>
        </w:rPr>
        <w:br/>
        <w:t xml:space="preserve">  "Protected Project" means any BESS EPC contract, BESS equipment supply contract, LTSA/O&amp;M contract, or other contract for the delivery, installation, commissioning, or long-term operation of battery energy storage in respect of: (i) any Park listed in Schedule 1; (ii) any client or client group listed in Schedule 1; or (iii) any Future Business opportunity that was originated, introduced, or materially developed by the Consultant or the Director prior to or after the date of this Agreement for delivery in the Republic of Cyprus.</w:t>
        <w:br/>
      </w:r>
    </w:p>
    <w:p>
      <w:pPr>
        <w:jc w:val="both"/>
      </w:pPr>
      <w:r>
        <w:rPr>
          <w:rFonts w:ascii="Calibri" w:hAnsi="Calibri"/>
          <w:b w:val="0"/>
          <w:i w:val="0"/>
          <w:color w:val="000000"/>
          <w:sz w:val="20"/>
        </w:rPr>
        <w:br/>
        <w:t xml:space="preserve">  "Deemed Group Receipt" means, where any member of the Group (other than the Company) receives payment from an end client or intermediary in respect of a Protected Project, the amount so received shall be treated for all purposes of this Agreement as if it had been received by the Company on the date of actual receipt by such Group member.</w:t>
        <w:br/>
      </w:r>
    </w:p>
    <w:p>
      <w:r>
        <w:rPr>
          <w:rFonts w:ascii="Calibri" w:hAnsi="Calibri"/>
          <w:b w:val="0"/>
          <w:i w:val="0"/>
          <w:color w:val="000000"/>
          <w:sz w:val="20"/>
        </w:rPr>
        <w:t>═══ CLAUSE 2 — PART A: ORIGINATION FEE ═══</w:t>
      </w:r>
    </w:p>
    <w:p>
      <w:pPr>
        <w:spacing w:before="240"/>
      </w:pPr>
      <w:r>
        <w:rPr>
          <w:rFonts w:ascii="Calibri" w:hAnsi="Calibri"/>
          <w:b/>
          <w:i w:val="0"/>
          <w:color w:val="1A365D"/>
          <w:sz w:val="22"/>
        </w:rPr>
        <w:t>PART A — ORIGINATION FEE (Existing Project — 51 BESS Parks)</w:t>
      </w:r>
    </w:p>
    <w:p>
      <w:pPr>
        <w:spacing w:before="280"/>
      </w:pPr>
      <w:r>
        <w:rPr>
          <w:rFonts w:ascii="Calibri" w:hAnsi="Calibri"/>
          <w:b/>
          <w:i w:val="0"/>
          <w:color w:val="C9A432"/>
          <w:sz w:val="24"/>
        </w:rPr>
        <w:t>2. Origination Fee — Existing Project</w:t>
      </w:r>
    </w:p>
    <w:p>
      <w:pPr>
        <w:jc w:val="both"/>
      </w:pPr>
      <w:r>
        <w:rPr>
          <w:rFonts w:ascii="Calibri" w:hAnsi="Calibri"/>
          <w:b w:val="0"/>
          <w:i w:val="0"/>
          <w:color w:val="000000"/>
          <w:sz w:val="20"/>
        </w:rPr>
        <w:t>2.1 In consideration of the Consultant's role in personally originating, structuring, and securing the Existing Project, the Company shall pay the Consultant an Origination Fee equal to thirty percent (30%) of the Net Margin on each Park in the Existing Project.</w:t>
      </w:r>
    </w:p>
    <w:p>
      <w:pPr>
        <w:jc w:val="both"/>
      </w:pPr>
      <w:r>
        <w:rPr>
          <w:rFonts w:ascii="Calibri" w:hAnsi="Calibri"/>
          <w:b w:val="0"/>
          <w:i w:val="0"/>
          <w:color w:val="000000"/>
          <w:sz w:val="20"/>
        </w:rPr>
        <w:t>2.2 The Origination Fee shall be calculated on a per-Park basis. The Company shall provide the Consultant with a detailed margin calculation for each Park within fourteen (14) days of issuing each invoice to the end client, showing: (i) Client Price invoiced; (ii) CIF Cost allocated; (iii) EPC Cost allocated; and (iv) resulting Net Margin and Origination Fee amount.</w:t>
      </w:r>
    </w:p>
    <w:p>
      <w:pPr>
        <w:jc w:val="both"/>
      </w:pPr>
      <w:r>
        <w:rPr>
          <w:rFonts w:ascii="Calibri" w:hAnsi="Calibri"/>
          <w:b w:val="0"/>
          <w:i w:val="0"/>
          <w:color w:val="000000"/>
          <w:sz w:val="20"/>
        </w:rPr>
        <w:t>2.3 Payment Timing — Mirror Client Milestones: The Origination Fee shall become due and payable in instalments that mirror the payment milestones received from the end client. Whenever the Company receives a payment from an end client in respect of a Park, the proportionate share of the Origination Fee shall become due to the Consultant within fourteen (14) days of the Company receiving such payment.</w:t>
      </w:r>
    </w:p>
    <w:p>
      <w:pPr>
        <w:jc w:val="both"/>
      </w:pPr>
      <w:r>
        <w:rPr>
          <w:rFonts w:ascii="Calibri" w:hAnsi="Calibri"/>
          <w:b w:val="0"/>
          <w:i w:val="0"/>
          <w:color w:val="000000"/>
          <w:sz w:val="20"/>
        </w:rPr>
        <w:t>For illustration, based on the standard EPC payment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Client Payment Milestone</w:t>
            </w:r>
          </w:p>
        </w:tc>
        <w:tc>
          <w:tcPr>
            <w:tcW w:type="dxa" w:w="3135"/>
            <w:shd w:fill="1A365D" w:val="clear"/>
          </w:tcPr>
          <w:p>
            <w:pPr>
              <w:jc w:val="left"/>
            </w:pPr>
            <w:r>
              <w:rPr>
                <w:b/>
                <w:color w:val="FFFFFF"/>
              </w:rPr>
            </w:r>
            <w:r>
              <w:rPr>
                <w:rFonts w:ascii="Calibri" w:hAnsi="Calibri"/>
                <w:b/>
                <w:i w:val="0"/>
                <w:color w:val="FFFFFF"/>
                <w:sz w:val="18"/>
              </w:rPr>
              <w:t>% of Contract</w:t>
            </w:r>
          </w:p>
        </w:tc>
        <w:tc>
          <w:tcPr>
            <w:tcW w:type="dxa" w:w="3135"/>
            <w:shd w:fill="1A365D" w:val="clear"/>
          </w:tcPr>
          <w:p>
            <w:pPr>
              <w:jc w:val="left"/>
            </w:pPr>
            <w:r>
              <w:rPr>
                <w:b/>
                <w:color w:val="FFFFFF"/>
              </w:rPr>
            </w:r>
            <w:r>
              <w:rPr>
                <w:rFonts w:ascii="Calibri" w:hAnsi="Calibri"/>
                <w:b/>
                <w:i w:val="0"/>
                <w:color w:val="FFFFFF"/>
                <w:sz w:val="18"/>
              </w:rPr>
              <w:t>Origination Fee Payment to Consultant</w:t>
            </w:r>
          </w:p>
        </w:tc>
      </w:tr>
      <w:tr>
        <w:tc>
          <w:tcPr>
            <w:tcW w:type="dxa" w:w="3135"/>
          </w:tcPr>
          <w:p>
            <w:r/>
            <w:r>
              <w:rPr>
                <w:rFonts w:ascii="Calibri" w:hAnsi="Calibri"/>
                <w:b w:val="0"/>
                <w:i w:val="0"/>
                <w:color w:val="000000"/>
                <w:sz w:val="18"/>
              </w:rPr>
              <w:t>Advance (contract signing)</w:t>
            </w:r>
          </w:p>
        </w:tc>
        <w:tc>
          <w:tcPr>
            <w:tcW w:type="dxa" w:w="3135"/>
          </w:tcPr>
          <w:p>
            <w:pPr>
              <w:jc w:val="right"/>
            </w:pPr>
            <w:r/>
            <w:r>
              <w:rPr>
                <w:rFonts w:ascii="Calibri" w:hAnsi="Calibri"/>
                <w:b w:val="0"/>
                <w:i w:val="0"/>
                <w:color w:val="000000"/>
                <w:sz w:val="18"/>
              </w:rPr>
              <w:t>30%</w:t>
            </w:r>
          </w:p>
        </w:tc>
        <w:tc>
          <w:tcPr>
            <w:tcW w:type="dxa" w:w="3135"/>
          </w:tcPr>
          <w:p>
            <w:r/>
            <w:r>
              <w:rPr>
                <w:rFonts w:ascii="Calibri" w:hAnsi="Calibri"/>
                <w:b w:val="0"/>
                <w:i w:val="0"/>
                <w:color w:val="000000"/>
                <w:sz w:val="18"/>
              </w:rPr>
              <w:t>30% of total Origination Fee due, payable within 14 days of receipt</w:t>
            </w:r>
          </w:p>
        </w:tc>
      </w:tr>
      <w:tr>
        <w:tc>
          <w:tcPr>
            <w:tcW w:type="dxa" w:w="3135"/>
          </w:tcPr>
          <w:p>
            <w:r/>
            <w:r>
              <w:rPr>
                <w:rFonts w:ascii="Calibri" w:hAnsi="Calibri"/>
                <w:b w:val="0"/>
                <w:i w:val="0"/>
                <w:color w:val="000000"/>
                <w:sz w:val="18"/>
              </w:rPr>
              <w:t>Pre-shipment</w:t>
            </w:r>
          </w:p>
        </w:tc>
        <w:tc>
          <w:tcPr>
            <w:tcW w:type="dxa" w:w="3135"/>
          </w:tcPr>
          <w:p>
            <w:pPr>
              <w:jc w:val="right"/>
            </w:pPr>
            <w:r/>
            <w:r>
              <w:rPr>
                <w:rFonts w:ascii="Calibri" w:hAnsi="Calibri"/>
                <w:b w:val="0"/>
                <w:i w:val="0"/>
                <w:color w:val="000000"/>
                <w:sz w:val="18"/>
              </w:rPr>
              <w:t>55%</w:t>
            </w:r>
          </w:p>
        </w:tc>
        <w:tc>
          <w:tcPr>
            <w:tcW w:type="dxa" w:w="3135"/>
          </w:tcPr>
          <w:p>
            <w:r/>
            <w:r>
              <w:rPr>
                <w:rFonts w:ascii="Calibri" w:hAnsi="Calibri"/>
                <w:b w:val="0"/>
                <w:i w:val="0"/>
                <w:color w:val="000000"/>
                <w:sz w:val="18"/>
              </w:rPr>
              <w:t>55% of total Origination Fee due, payable within 14 days of receipt</w:t>
            </w:r>
          </w:p>
        </w:tc>
      </w:tr>
      <w:tr>
        <w:tc>
          <w:tcPr>
            <w:tcW w:type="dxa" w:w="3135"/>
          </w:tcPr>
          <w:p>
            <w:r/>
            <w:r>
              <w:rPr>
                <w:rFonts w:ascii="Calibri" w:hAnsi="Calibri"/>
                <w:b w:val="0"/>
                <w:i w:val="0"/>
                <w:color w:val="000000"/>
                <w:sz w:val="18"/>
              </w:rPr>
              <w:t>PAC (Provisional Acceptance)</w:t>
            </w:r>
          </w:p>
        </w:tc>
        <w:tc>
          <w:tcPr>
            <w:tcW w:type="dxa" w:w="3135"/>
          </w:tcPr>
          <w:p>
            <w:pPr>
              <w:jc w:val="right"/>
            </w:pPr>
            <w:r/>
            <w:r>
              <w:rPr>
                <w:rFonts w:ascii="Calibri" w:hAnsi="Calibri"/>
                <w:b w:val="0"/>
                <w:i w:val="0"/>
                <w:color w:val="000000"/>
                <w:sz w:val="18"/>
              </w:rPr>
              <w:t>10%</w:t>
            </w:r>
          </w:p>
        </w:tc>
        <w:tc>
          <w:tcPr>
            <w:tcW w:type="dxa" w:w="3135"/>
          </w:tcPr>
          <w:p>
            <w:r/>
            <w:r>
              <w:rPr>
                <w:rFonts w:ascii="Calibri" w:hAnsi="Calibri"/>
                <w:b w:val="0"/>
                <w:i w:val="0"/>
                <w:color w:val="000000"/>
                <w:sz w:val="18"/>
              </w:rPr>
              <w:t>10% of total Origination Fee due, payable within 14 days of receipt</w:t>
            </w:r>
          </w:p>
        </w:tc>
      </w:tr>
      <w:tr>
        <w:tc>
          <w:tcPr>
            <w:tcW w:type="dxa" w:w="3135"/>
          </w:tcPr>
          <w:p>
            <w:r/>
            <w:r>
              <w:rPr>
                <w:rFonts w:ascii="Calibri" w:hAnsi="Calibri"/>
                <w:b w:val="0"/>
                <w:i w:val="0"/>
                <w:color w:val="000000"/>
                <w:sz w:val="18"/>
              </w:rPr>
              <w:t>FAC (Final Acceptance / Retention)</w:t>
            </w:r>
          </w:p>
        </w:tc>
        <w:tc>
          <w:tcPr>
            <w:tcW w:type="dxa" w:w="3135"/>
          </w:tcPr>
          <w:p>
            <w:pPr>
              <w:jc w:val="right"/>
            </w:pPr>
            <w:r/>
            <w:r>
              <w:rPr>
                <w:rFonts w:ascii="Calibri" w:hAnsi="Calibri"/>
                <w:b w:val="0"/>
                <w:i w:val="0"/>
                <w:color w:val="000000"/>
                <w:sz w:val="18"/>
              </w:rPr>
              <w:t>5%</w:t>
            </w:r>
          </w:p>
        </w:tc>
        <w:tc>
          <w:tcPr>
            <w:tcW w:type="dxa" w:w="3135"/>
          </w:tcPr>
          <w:p>
            <w:r/>
            <w:r>
              <w:rPr>
                <w:rFonts w:ascii="Calibri" w:hAnsi="Calibri"/>
                <w:b w:val="0"/>
                <w:i w:val="0"/>
                <w:color w:val="000000"/>
                <w:sz w:val="18"/>
              </w:rPr>
              <w:t>5% of total Origination Fee due, payable within 14 days of receipt</w:t>
            </w:r>
          </w:p>
        </w:tc>
      </w:tr>
      <w:tr>
        <w:tc>
          <w:tcPr>
            <w:tcW w:type="dxa" w:w="3135"/>
          </w:tcPr>
          <w:p>
            <w:r/>
            <w:r>
              <w:rPr>
                <w:rFonts w:ascii="Calibri" w:hAnsi="Calibri"/>
                <w:b w:val="0"/>
                <w:i w:val="0"/>
                <w:color w:val="000000"/>
                <w:sz w:val="18"/>
              </w:rPr>
              <w:t>Total</w:t>
            </w:r>
          </w:p>
        </w:tc>
        <w:tc>
          <w:tcPr>
            <w:tcW w:type="dxa" w:w="3135"/>
          </w:tcPr>
          <w:p>
            <w:pPr>
              <w:jc w:val="right"/>
            </w:pPr>
            <w:r/>
            <w:r>
              <w:rPr>
                <w:rFonts w:ascii="Calibri" w:hAnsi="Calibri"/>
                <w:b w:val="0"/>
                <w:i w:val="0"/>
                <w:color w:val="000000"/>
                <w:sz w:val="18"/>
              </w:rPr>
              <w:t>100%</w:t>
            </w:r>
          </w:p>
        </w:tc>
        <w:tc>
          <w:tcPr>
            <w:tcW w:type="dxa" w:w="3135"/>
          </w:tcPr>
          <w:p>
            <w:r/>
            <w:r>
              <w:rPr>
                <w:rFonts w:ascii="Calibri" w:hAnsi="Calibri"/>
                <w:b w:val="0"/>
                <w:i w:val="0"/>
                <w:color w:val="000000"/>
                <w:sz w:val="18"/>
              </w:rPr>
              <w:t>100% of Origination Fee paid pro rata with client receipts</w:t>
            </w:r>
          </w:p>
        </w:tc>
      </w:tr>
    </w:tbl>
    <w:p/>
    <w:p>
      <w:pPr>
        <w:jc w:val="both"/>
      </w:pPr>
      <w:r>
        <w:rPr>
          <w:rFonts w:ascii="Calibri" w:hAnsi="Calibri"/>
          <w:b w:val="0"/>
          <w:i w:val="0"/>
          <w:color w:val="000000"/>
          <w:sz w:val="20"/>
        </w:rPr>
        <w:t>2.4 If the actual payment milestones for any particular client differ from those shown above, the same principle shall apply: the Origination Fee shall be payable at the same proportionate rate and at the same time as the Company receives payment from the end client.</w:t>
      </w:r>
    </w:p>
    <w:p>
      <w:pPr>
        <w:jc w:val="both"/>
      </w:pPr>
      <w:r>
        <w:rPr>
          <w:rFonts w:ascii="Calibri" w:hAnsi="Calibri"/>
          <w:b w:val="0"/>
          <w:i w:val="0"/>
          <w:color w:val="000000"/>
          <w:sz w:val="20"/>
        </w:rPr>
        <w:t>2.5 Rationale: The Origination Fee reflects the Consultant's direct and personal contribution in building the entire Existing Project pipeline from zero — including identifying all 51 parks, establishing the Linyang supply relationship, negotiating commercial terms with six separate client groups, and structuring the EPC model. Without these origination activities, the Existing Project would not exist. The 30% rate is commercially proportionate to the value created.</w:t>
      </w:r>
    </w:p>
    <w:p>
      <w:r>
        <w:rPr>
          <w:rFonts w:ascii="Calibri" w:hAnsi="Calibri"/>
          <w:b w:val="0"/>
          <w:i w:val="0"/>
          <w:color w:val="000000"/>
          <w:sz w:val="20"/>
        </w:rPr>
        <w:t>═══ CLAUSE 3 — PART B: TEAM OPERATIONS FEE ═══</w:t>
      </w:r>
    </w:p>
    <w:p>
      <w:pPr>
        <w:spacing w:before="240"/>
      </w:pPr>
      <w:r>
        <w:rPr>
          <w:rFonts w:ascii="Calibri" w:hAnsi="Calibri"/>
          <w:b/>
          <w:i w:val="0"/>
          <w:color w:val="1A365D"/>
          <w:sz w:val="22"/>
        </w:rPr>
        <w:t>PART B — TEAM OPERATIONS FEE (All Company Business)</w:t>
      </w:r>
    </w:p>
    <w:p>
      <w:pPr>
        <w:spacing w:before="280"/>
      </w:pPr>
      <w:r>
        <w:rPr>
          <w:rFonts w:ascii="Calibri" w:hAnsi="Calibri"/>
          <w:b/>
          <w:i w:val="0"/>
          <w:color w:val="C9A432"/>
          <w:sz w:val="24"/>
        </w:rPr>
        <w:t>3. Team Operations Fee — Future Cyprus BESS Business</w:t>
      </w:r>
    </w:p>
    <w:p>
      <w:pPr>
        <w:jc w:val="both"/>
      </w:pPr>
      <w:r>
        <w:rPr>
          <w:rFonts w:ascii="Calibri" w:hAnsi="Calibri"/>
          <w:b w:val="0"/>
          <w:i w:val="0"/>
          <w:color w:val="000000"/>
          <w:sz w:val="20"/>
        </w:rPr>
        <w:t>3.1 In consideration of the Consultant's ongoing provision of team operational services (as described in Schedule 3), the Company shall pay the Consultant a Team Operations Fee equal to thirty percent (30%) of the Net Margin on:</w:t>
      </w:r>
    </w:p>
    <w:p>
      <w:pPr>
        <w:jc w:val="both"/>
      </w:pPr>
      <w:r>
        <w:rPr>
          <w:rFonts w:ascii="Calibri" w:hAnsi="Calibri"/>
          <w:b w:val="0"/>
          <w:i w:val="0"/>
          <w:color w:val="000000"/>
          <w:sz w:val="20"/>
        </w:rPr>
        <w:t>(a) future Cyprus BESS EPC contracts and BESS supply agreements executed through the Company that are not part of the Existing Project; and</w:t>
      </w:r>
    </w:p>
    <w:p>
      <w:pPr>
        <w:jc w:val="both"/>
      </w:pPr>
      <w:r>
        <w:rPr>
          <w:rFonts w:ascii="Calibri" w:hAnsi="Calibri"/>
          <w:b w:val="0"/>
          <w:i w:val="0"/>
          <w:color w:val="000000"/>
          <w:sz w:val="20"/>
        </w:rPr>
        <w:t>(b) O&amp;M and LTSA revenue in respect of BESS installations delivered by the Company in Cyprus, where the Consultant provides operational services under Schedule 3.</w:t>
      </w:r>
    </w:p>
    <w:p>
      <w:pPr>
        <w:jc w:val="both"/>
      </w:pPr>
      <w:r>
        <w:rPr>
          <w:rFonts w:ascii="Calibri" w:hAnsi="Calibri"/>
          <w:b w:val="0"/>
          <w:i w:val="0"/>
          <w:color w:val="000000"/>
          <w:sz w:val="20"/>
        </w:rPr>
        <w:t>3.1A Exclusions: Part B does not apply to: (i) fund GP carried interest or AUM/management fees; (ii) equity subscription proceeds or shareholder investments; (iii) energy trading or arbitrage revenue unless the Consultant delivers those services under a separate written scope; (iv) projects physically located outside the Republic of Cyprus unless agreed in writing per project.</w:t>
      </w:r>
    </w:p>
    <w:p>
      <w:pPr>
        <w:jc w:val="both"/>
      </w:pPr>
      <w:r>
        <w:rPr>
          <w:rFonts w:ascii="Calibri" w:hAnsi="Calibri"/>
          <w:b w:val="0"/>
          <w:i w:val="0"/>
          <w:color w:val="000000"/>
          <w:sz w:val="20"/>
        </w:rPr>
        <w:t>3.2 Team Commission Pool: The Team Operations Fee is a team commission pool. The Director shall determine distribution among operational team members. The Consultant shall maintain confidential records of team allocations available to the Company's board on reasonable request to support the arm's-length character of this Agreement.</w:t>
      </w:r>
    </w:p>
    <w:p>
      <w:pPr>
        <w:jc w:val="both"/>
      </w:pPr>
      <w:r>
        <w:rPr>
          <w:rFonts w:ascii="Calibri" w:hAnsi="Calibri"/>
          <w:b w:val="0"/>
          <w:i w:val="0"/>
          <w:color w:val="000000"/>
          <w:sz w:val="20"/>
        </w:rPr>
        <w:t>3.3 Relationship to Origination Fee: For the Existing Project, the Origination Fee (Part A) and the Team Operations Fee (Part B) are not cumulative. The 30% rate applies once to each revenue stream. For the Existing Project parks listed in Schedule 1, the fee payable is the Origination Fee under Part A. The Team Operations Fee under Part B applies to all Future Business and any revenue streams not covered by Part A.</w:t>
      </w:r>
    </w:p>
    <w:p>
      <w:pPr>
        <w:jc w:val="both"/>
      </w:pPr>
      <w:r>
        <w:rPr>
          <w:rFonts w:ascii="Calibri" w:hAnsi="Calibri"/>
          <w:b w:val="0"/>
          <w:i w:val="0"/>
          <w:color w:val="000000"/>
          <w:sz w:val="20"/>
        </w:rPr>
        <w:t>3.4 Payment Timing: The Team Operations Fee shall become due and payable within fourteen (14) days of the Company receiving the corresponding revenue. For EPC contracts, payment shall mirror the client milestone structure described in Clause 2.3. For recurring revenue (management fees, O&amp;M, subscriptions), payment shall be made within fourteen (14) days of each receipt.</w:t>
      </w:r>
    </w:p>
    <w:p>
      <w:pPr>
        <w:jc w:val="both"/>
      </w:pPr>
      <w:r>
        <w:rPr>
          <w:rFonts w:ascii="Calibri" w:hAnsi="Calibri"/>
          <w:b w:val="0"/>
          <w:i w:val="0"/>
          <w:color w:val="000000"/>
          <w:sz w:val="20"/>
        </w:rPr>
        <w:t>3.5 Part B revenue streams (illustrative):</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Revenue Stream</w:t>
            </w:r>
          </w:p>
        </w:tc>
        <w:tc>
          <w:tcPr>
            <w:tcW w:type="dxa" w:w="3135"/>
            <w:shd w:fill="1A365D" w:val="clear"/>
          </w:tcPr>
          <w:p>
            <w:pPr>
              <w:jc w:val="left"/>
            </w:pPr>
            <w:r>
              <w:rPr>
                <w:b/>
                <w:color w:val="FFFFFF"/>
              </w:rPr>
            </w:r>
            <w:r>
              <w:rPr>
                <w:rFonts w:ascii="Calibri" w:hAnsi="Calibri"/>
                <w:b/>
                <w:i w:val="0"/>
                <w:color w:val="FFFFFF"/>
                <w:sz w:val="18"/>
              </w:rPr>
              <w:t>Calculation Base</w:t>
            </w:r>
          </w:p>
        </w:tc>
        <w:tc>
          <w:tcPr>
            <w:tcW w:type="dxa" w:w="3135"/>
            <w:shd w:fill="1A365D" w:val="clear"/>
          </w:tcPr>
          <w:p>
            <w:pPr>
              <w:jc w:val="left"/>
            </w:pPr>
            <w:r>
              <w:rPr>
                <w:b/>
                <w:color w:val="FFFFFF"/>
              </w:rPr>
            </w:r>
            <w:r>
              <w:rPr>
                <w:rFonts w:ascii="Calibri" w:hAnsi="Calibri"/>
                <w:b/>
                <w:i w:val="0"/>
                <w:color w:val="FFFFFF"/>
                <w:sz w:val="18"/>
              </w:rPr>
              <w:t>Part B applies?</w:t>
            </w:r>
          </w:p>
        </w:tc>
      </w:tr>
      <w:tr>
        <w:tc>
          <w:tcPr>
            <w:tcW w:type="dxa" w:w="3135"/>
          </w:tcPr>
          <w:p>
            <w:r/>
            <w:r>
              <w:rPr>
                <w:rFonts w:ascii="Calibri" w:hAnsi="Calibri"/>
                <w:b w:val="0"/>
                <w:i w:val="0"/>
                <w:color w:val="000000"/>
                <w:sz w:val="18"/>
              </w:rPr>
              <w:t>New client Cyprus BESS EPC</w:t>
            </w:r>
          </w:p>
        </w:tc>
        <w:tc>
          <w:tcPr>
            <w:tcW w:type="dxa" w:w="3135"/>
          </w:tcPr>
          <w:p>
            <w:r/>
            <w:r>
              <w:rPr>
                <w:rFonts w:ascii="Calibri" w:hAnsi="Calibri"/>
                <w:b w:val="0"/>
                <w:i w:val="0"/>
                <w:color w:val="000000"/>
                <w:sz w:val="18"/>
              </w:rPr>
              <w:t>Net Margin</w:t>
            </w:r>
          </w:p>
        </w:tc>
        <w:tc>
          <w:tcPr>
            <w:tcW w:type="dxa" w:w="3135"/>
          </w:tcPr>
          <w:p>
            <w:r/>
            <w:r>
              <w:rPr>
                <w:rFonts w:ascii="Calibri" w:hAnsi="Calibri"/>
                <w:b w:val="0"/>
                <w:i w:val="0"/>
                <w:color w:val="000000"/>
                <w:sz w:val="18"/>
              </w:rPr>
              <w:t>Yes — if not in Schedule 1 / Part A</w:t>
            </w:r>
          </w:p>
        </w:tc>
      </w:tr>
      <w:tr>
        <w:tc>
          <w:tcPr>
            <w:tcW w:type="dxa" w:w="3135"/>
          </w:tcPr>
          <w:p>
            <w:r/>
            <w:r>
              <w:rPr>
                <w:rFonts w:ascii="Calibri" w:hAnsi="Calibri"/>
                <w:b w:val="0"/>
                <w:i w:val="0"/>
                <w:color w:val="000000"/>
                <w:sz w:val="18"/>
              </w:rPr>
              <w:t>Cyprus O&amp;M / LTSA</w:t>
            </w:r>
          </w:p>
        </w:tc>
        <w:tc>
          <w:tcPr>
            <w:tcW w:type="dxa" w:w="3135"/>
          </w:tcPr>
          <w:p>
            <w:r/>
            <w:r>
              <w:rPr>
                <w:rFonts w:ascii="Calibri" w:hAnsi="Calibri"/>
                <w:b w:val="0"/>
                <w:i w:val="0"/>
                <w:color w:val="000000"/>
                <w:sz w:val="18"/>
              </w:rPr>
              <w:t>Net Revenue</w:t>
            </w:r>
          </w:p>
        </w:tc>
        <w:tc>
          <w:tcPr>
            <w:tcW w:type="dxa" w:w="3135"/>
          </w:tcPr>
          <w:p>
            <w:r/>
            <w:r>
              <w:rPr>
                <w:rFonts w:ascii="Calibri" w:hAnsi="Calibri"/>
                <w:b w:val="0"/>
                <w:i w:val="0"/>
                <w:color w:val="000000"/>
                <w:sz w:val="18"/>
              </w:rPr>
              <w:t>Yes — where Schedule 3 services provided</w:t>
            </w:r>
          </w:p>
        </w:tc>
      </w:tr>
      <w:tr>
        <w:tc>
          <w:tcPr>
            <w:tcW w:type="dxa" w:w="3135"/>
          </w:tcPr>
          <w:p>
            <w:r/>
            <w:r>
              <w:rPr>
                <w:rFonts w:ascii="Calibri" w:hAnsi="Calibri"/>
                <w:b w:val="0"/>
                <w:i w:val="0"/>
                <w:color w:val="000000"/>
                <w:sz w:val="18"/>
              </w:rPr>
              <w:t>Fund management fees / carry</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excluded by Clause 3.1A</w:t>
            </w:r>
          </w:p>
        </w:tc>
      </w:tr>
      <w:tr>
        <w:tc>
          <w:tcPr>
            <w:tcW w:type="dxa" w:w="3135"/>
          </w:tcPr>
          <w:p>
            <w:r/>
            <w:r>
              <w:rPr>
                <w:rFonts w:ascii="Calibri" w:hAnsi="Calibri"/>
                <w:b w:val="0"/>
                <w:i w:val="0"/>
                <w:color w:val="000000"/>
                <w:sz w:val="18"/>
              </w:rPr>
              <w:t>Energy trading / arbitrage</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unless separate written scope</w:t>
            </w:r>
          </w:p>
        </w:tc>
      </w:tr>
      <w:tr>
        <w:tc>
          <w:tcPr>
            <w:tcW w:type="dxa" w:w="3135"/>
          </w:tcPr>
          <w:p>
            <w:r/>
            <w:r>
              <w:rPr>
                <w:rFonts w:ascii="Calibri" w:hAnsi="Calibri"/>
                <w:b w:val="0"/>
                <w:i w:val="0"/>
                <w:color w:val="000000"/>
                <w:sz w:val="18"/>
              </w:rPr>
              <w:t>Non-Cyprus BESS projects</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unless per-project written agreement</w:t>
            </w:r>
          </w:p>
        </w:tc>
      </w:tr>
    </w:tbl>
    <w:p/>
    <w:p>
      <w:pPr>
        <w:jc w:val="both"/>
      </w:pPr>
      <w:r>
        <w:rPr>
          <w:rFonts w:ascii="Calibri" w:hAnsi="Calibri"/>
          <w:b w:val="0"/>
          <w:i w:val="0"/>
          <w:color w:val="000000"/>
          <w:sz w:val="20"/>
        </w:rPr>
        <w:t>3.6 Rationale: The Team Operations Fee reflects the market cost of retaining a high-performing operational team capable of delivering complex multi-site BESS EPC projects. The Director manages the team's composition, performance, and compensation from within this fee, eliminating the need for the Company to maintain a separate payroll, HR function, or performance management system for operational staff. The 30% rate is consistent with industry norms for outsourced project management and operational consultancy in the EPC sector.</w:t>
      </w:r>
    </w:p>
    <w:p>
      <w:r>
        <w:rPr>
          <w:rFonts w:ascii="Calibri" w:hAnsi="Calibri"/>
          <w:b w:val="0"/>
          <w:i w:val="0"/>
          <w:color w:val="000000"/>
          <w:sz w:val="20"/>
        </w:rPr>
        <w:t>═══ CLAUSE 4 — AUDIT AND TRANSPARENCY ═══</w:t>
      </w:r>
    </w:p>
    <w:p>
      <w:pPr>
        <w:spacing w:before="280"/>
      </w:pPr>
      <w:r>
        <w:rPr>
          <w:rFonts w:ascii="Calibri" w:hAnsi="Calibri"/>
          <w:b/>
          <w:i w:val="0"/>
          <w:color w:val="C9A432"/>
          <w:sz w:val="24"/>
        </w:rPr>
        <w:t>4. Audit, Reporting and Transparency</w:t>
      </w:r>
    </w:p>
    <w:p>
      <w:pPr>
        <w:jc w:val="both"/>
      </w:pPr>
      <w:r>
        <w:rPr>
          <w:rFonts w:ascii="Calibri" w:hAnsi="Calibri"/>
          <w:b w:val="0"/>
          <w:i w:val="0"/>
          <w:color w:val="000000"/>
          <w:sz w:val="20"/>
        </w:rPr>
        <w:t>4.1 Margin Reporting: The Company shall provide the Consultant with a detailed calculation for each fee payment, showing: (i) revenue received; (ii) applicable costs; (iii) resulting Net Margin or Net Revenue; and (iv) fee amount. Reports shall be provided within fourteen (14) days of each client payment.</w:t>
      </w:r>
    </w:p>
    <w:p>
      <w:pPr>
        <w:jc w:val="both"/>
      </w:pPr>
      <w:r>
        <w:rPr>
          <w:rFonts w:ascii="Calibri" w:hAnsi="Calibri"/>
          <w:b w:val="0"/>
          <w:i w:val="0"/>
          <w:color w:val="000000"/>
          <w:sz w:val="20"/>
        </w:rPr>
        <w:t>4.2 Quarterly Summary: The Company shall provide a quarterly summary showing all revenue received, fees accrued, fees paid, and fees outstanding, broken down by Existing Project and Future Business.</w:t>
      </w:r>
    </w:p>
    <w:p>
      <w:pPr>
        <w:jc w:val="both"/>
      </w:pPr>
      <w:r>
        <w:rPr>
          <w:rFonts w:ascii="Calibri" w:hAnsi="Calibri"/>
          <w:b w:val="0"/>
          <w:i w:val="0"/>
          <w:color w:val="000000"/>
          <w:sz w:val="20"/>
        </w:rPr>
        <w:t>4.3 Audit Right: The Consultant shall have the right, upon reasonable written notice, to inspect the Company's books, records, invoices, and bank statements relating to all revenue streams to verify the accuracy of fee calculations. The Company shall retain all such records for a minimum of seven (7) years.</w:t>
      </w:r>
    </w:p>
    <w:p>
      <w:r>
        <w:rPr>
          <w:rFonts w:ascii="Calibri" w:hAnsi="Calibri"/>
          <w:b w:val="0"/>
          <w:i w:val="0"/>
          <w:color w:val="000000"/>
          <w:sz w:val="20"/>
        </w:rPr>
        <w:t>═══ CLAUSE 5 — DURATION AND PROTECTION ═══</w:t>
      </w:r>
    </w:p>
    <w:p>
      <w:pPr>
        <w:spacing w:before="280"/>
      </w:pPr>
      <w:r>
        <w:rPr>
          <w:rFonts w:ascii="Calibri" w:hAnsi="Calibri"/>
          <w:b/>
          <w:i w:val="0"/>
          <w:color w:val="C9A432"/>
          <w:sz w:val="24"/>
        </w:rPr>
        <w:t>5. Duration, Term and Protection</w:t>
      </w:r>
    </w:p>
    <w:p>
      <w:pPr>
        <w:jc w:val="both"/>
      </w:pPr>
      <w:r>
        <w:rPr>
          <w:rFonts w:ascii="Calibri" w:hAnsi="Calibri"/>
          <w:b w:val="0"/>
          <w:i w:val="0"/>
          <w:color w:val="000000"/>
          <w:sz w:val="20"/>
        </w:rPr>
        <w:t>5.1 Commencement: This Agreement shall commence on the date first written above.</w:t>
      </w:r>
    </w:p>
    <w:p>
      <w:pPr>
        <w:jc w:val="both"/>
      </w:pPr>
      <w:r>
        <w:rPr>
          <w:rFonts w:ascii="Calibri" w:hAnsi="Calibri"/>
          <w:b w:val="0"/>
          <w:i w:val="0"/>
          <w:color w:val="000000"/>
          <w:sz w:val="20"/>
        </w:rPr>
        <w:t>5.2 Minimum Term: This Agreement shall have a minimum term of five (5) years from the date of commencement (the "Minimum Term"), after which it shall automatically renew for successive periods of three (3) years unless terminated by mutual written agreement of both Parties.</w:t>
      </w:r>
    </w:p>
    <w:p>
      <w:pPr>
        <w:jc w:val="both"/>
      </w:pPr>
      <w:r>
        <w:rPr>
          <w:rFonts w:ascii="Calibri" w:hAnsi="Calibri"/>
          <w:b w:val="0"/>
          <w:i w:val="0"/>
          <w:color w:val="000000"/>
          <w:sz w:val="20"/>
        </w:rPr>
        <w:t>5.3 Term and Protected Matter Status:</w:t>
      </w:r>
    </w:p>
    <w:p>
      <w:pPr>
        <w:jc w:val="both"/>
      </w:pPr>
      <w:r>
        <w:rPr>
          <w:rFonts w:ascii="Calibri" w:hAnsi="Calibri"/>
          <w:b w:val="0"/>
          <w:i w:val="0"/>
          <w:color w:val="000000"/>
          <w:sz w:val="20"/>
        </w:rPr>
        <w:t>(a) During the Minimum Term, this Agreement may not be terminated by the Company except for material uncured breach by the Consultant (following thirty (30) days' written notice and opportunity to cure) or by mutual written agreement. After the Minimum Term, either Party may terminate on twelve (12) months' written notice, subject to accrued fees on signed contracts and Clause 5.5.</w:t>
      </w:r>
    </w:p>
    <w:p>
      <w:pPr>
        <w:jc w:val="both"/>
      </w:pPr>
      <w:r>
        <w:rPr>
          <w:rFonts w:ascii="Calibri" w:hAnsi="Calibri"/>
          <w:b w:val="0"/>
          <w:i w:val="0"/>
          <w:color w:val="000000"/>
          <w:sz w:val="20"/>
        </w:rPr>
        <w:t>(b) This Agreement is designated as a "Protected Matter". Amendment or termination during the Minimum Term requires consent of shareholders holding at least seventy-five percent (75%) of voting shares, or unanimous consent if fewer than three shareholders. This shall be reflected in the Articles prior to any transfer of shares to a new shareholder. Nothing in this Agreement limits statutory rights under the Companies Law, Cap. 113.</w:t>
      </w:r>
    </w:p>
    <w:p>
      <w:pPr>
        <w:jc w:val="both"/>
      </w:pPr>
      <w:r>
        <w:rPr>
          <w:rFonts w:ascii="Calibri" w:hAnsi="Calibri"/>
          <w:b w:val="0"/>
          <w:i w:val="0"/>
          <w:color w:val="000000"/>
          <w:sz w:val="20"/>
        </w:rPr>
        <w:t>5.4 Pre-Existing Obligation and Survival: This Agreement is a material pre-existing obligation of the Company and shall be disclosed to new shareholders pursuant to Clause 6.3. Fees accrued on contracts signed during the term survive termination in respect of those contracts. Nothing in this Agreement purports to override mandatory provisions of Cap. 113 or to prevent shareholders from exercising rights expressly conferred by law.</w:t>
      </w:r>
    </w:p>
    <w:p>
      <w:pPr>
        <w:jc w:val="both"/>
      </w:pPr>
      <w:r>
        <w:rPr>
          <w:rFonts w:ascii="Calibri" w:hAnsi="Calibri"/>
          <w:b w:val="0"/>
          <w:i w:val="0"/>
          <w:color w:val="000000"/>
          <w:sz w:val="20"/>
        </w:rPr>
        <w:t>5.5 Liquidated Damages: If the Company repudiates or terminates without cause (other than Consultant material breach) before expiry of the Minimum Term, the Company shall pay liquidated damages equal to the average annual Origination Fee and Team Operations Fee paid in the preceding twenty-four (24) months, capped at twelve (12) months' average fees, as a genuine pre-estimate of loss. No liquidated damages apply following expiry of the Minimum Term or on termination for Consultant material breach.</w:t>
      </w:r>
    </w:p>
    <w:p>
      <w:pPr>
        <w:jc w:val="both"/>
      </w:pPr>
      <w:r>
        <w:rPr>
          <w:rFonts w:ascii="Calibri" w:hAnsi="Calibri"/>
          <w:b w:val="0"/>
          <w:i w:val="0"/>
          <w:color w:val="000000"/>
          <w:sz w:val="20"/>
        </w:rPr>
        <w:t>5.6 Any purported variation that reduces fees accrued before the purported variation shall not bind the Consultant without the Consultant's written consent.</w:t>
      </w:r>
    </w:p>
    <w:p>
      <w:r>
        <w:rPr>
          <w:rFonts w:ascii="Calibri" w:hAnsi="Calibri"/>
          <w:b w:val="0"/>
          <w:i w:val="0"/>
          <w:color w:val="000000"/>
          <w:sz w:val="20"/>
        </w:rPr>
        <w:t>═══ CLAUSE 6 — PROTECTION OF CONSULTANT'S RIGHTS ═══</w:t>
      </w:r>
    </w:p>
    <w:p>
      <w:pPr>
        <w:spacing w:before="280"/>
      </w:pPr>
      <w:r>
        <w:rPr>
          <w:rFonts w:ascii="Calibri" w:hAnsi="Calibri"/>
          <w:b/>
          <w:i w:val="0"/>
          <w:color w:val="C9A432"/>
          <w:sz w:val="24"/>
        </w:rPr>
        <w:t>6. Protection of the Consultant's Rights</w:t>
      </w:r>
    </w:p>
    <w:p>
      <w:pPr>
        <w:jc w:val="both"/>
      </w:pPr>
      <w:r>
        <w:rPr>
          <w:rFonts w:ascii="Calibri" w:hAnsi="Calibri"/>
          <w:b w:val="0"/>
          <w:i w:val="0"/>
          <w:color w:val="000000"/>
          <w:sz w:val="20"/>
        </w:rPr>
        <w:t>6.1 Independent Contractual Right: The Consultant's right to the Origination Fee and Team Operations Fee arises under this Agreement as an independent contractual right of the Consultant and is not contingent upon Alexander Papacosta holding any office, directorship, employment, or other position with the Company. All fees shall remain payable regardless of whether Alexander Papacosta is removed as director, resigns, or ceases to hold any role with the Company for any reason.</w:t>
      </w:r>
    </w:p>
    <w:p>
      <w:pPr>
        <w:jc w:val="both"/>
      </w:pPr>
      <w:r>
        <w:rPr>
          <w:rFonts w:ascii="Calibri" w:hAnsi="Calibri"/>
          <w:b w:val="0"/>
          <w:i w:val="0"/>
          <w:color w:val="000000"/>
          <w:sz w:val="20"/>
        </w:rPr>
        <w:t>6.2 Survival on Change of Control: If the shares of the Company are sold, transferred, or otherwise disposed of (whether in whole or in part), or if a new shareholder acquires control, the Company's obligations under this Agreement shall be binding on any successor owner, acquirer, or controlling party. The Company shall procure that any transferee of its shares or business expressly assumes the obligations under this Agreement as a condition of such transfer.</w:t>
      </w:r>
    </w:p>
    <w:p>
      <w:pPr>
        <w:jc w:val="both"/>
      </w:pPr>
      <w:r>
        <w:rPr>
          <w:rFonts w:ascii="Calibri" w:hAnsi="Calibri"/>
          <w:b w:val="0"/>
          <w:i w:val="0"/>
          <w:color w:val="000000"/>
          <w:sz w:val="20"/>
        </w:rPr>
        <w:t>6.3 Condition Precedent for New Shareholders: No shares in the Company shall be issued, transferred, or allotted to any new shareholder unless, as a condition precedent to such issuance, transfer, or allotment, the new shareholder has:</w:t>
      </w:r>
    </w:p>
    <w:p>
      <w:pPr>
        <w:jc w:val="both"/>
      </w:pPr>
      <w:r>
        <w:rPr>
          <w:rFonts w:ascii="Calibri" w:hAnsi="Calibri"/>
          <w:b w:val="0"/>
          <w:i w:val="0"/>
          <w:color w:val="000000"/>
          <w:sz w:val="20"/>
        </w:rPr>
        <w:t>(a) received a copy of this Agreement;</w:t>
      </w:r>
    </w:p>
    <w:p>
      <w:pPr>
        <w:jc w:val="both"/>
      </w:pPr>
      <w:r>
        <w:rPr>
          <w:rFonts w:ascii="Calibri" w:hAnsi="Calibri"/>
          <w:b w:val="0"/>
          <w:i w:val="0"/>
          <w:color w:val="000000"/>
          <w:sz w:val="20"/>
        </w:rPr>
        <w:t>(b) executed a written deed of acknowledgement confirming that: (i) they have read and understood this Agreement; (ii) they acknowledge this Agreement as a Pre-Existing Obligation of the Company; (iii) they shall not challenge the validity of fees properly accrued and payable under this Agreement in respect of contracts signed before their admission as shareholder, except as required by law or by order of a court of competent jurisdiction; and (iv) they acknowledge the Protected Matter status described in Clause 5.3(b);</w:t>
      </w:r>
    </w:p>
    <w:p>
      <w:pPr>
        <w:jc w:val="both"/>
      </w:pPr>
      <w:r>
        <w:rPr>
          <w:rFonts w:ascii="Calibri" w:hAnsi="Calibri"/>
          <w:b w:val="0"/>
          <w:i w:val="0"/>
          <w:color w:val="000000"/>
          <w:sz w:val="20"/>
        </w:rPr>
        <w:t>(c) executed any Shareholder Agreement that incorporates the obligations in sub-clause (b) above.</w:t>
      </w:r>
    </w:p>
    <w:p>
      <w:pPr>
        <w:jc w:val="both"/>
      </w:pPr>
      <w:r>
        <w:rPr>
          <w:rFonts w:ascii="Calibri" w:hAnsi="Calibri"/>
          <w:b w:val="0"/>
          <w:i w:val="0"/>
          <w:color w:val="000000"/>
          <w:sz w:val="20"/>
        </w:rPr>
        <w:t>6.4 No Set-Off: The Company shall not set off, deduct, or withhold any amount from any fee for any reason, including any claim, counterclaim, or dispute the Company may have against the Consultant or Alexander Papacosta, unless determined by a final, non-appealable court order or arbitral award.</w:t>
      </w:r>
    </w:p>
    <w:p>
      <w:pPr>
        <w:jc w:val="both"/>
      </w:pPr>
      <w:r>
        <w:rPr>
          <w:rFonts w:ascii="Calibri" w:hAnsi="Calibri"/>
          <w:b w:val="0"/>
          <w:i w:val="0"/>
          <w:color w:val="000000"/>
          <w:sz w:val="20"/>
        </w:rPr>
        <w:t>6.5 Payment before discretionary distributions: Fees accrued in respect of revenue received shall be paid before the Company declares discretionary dividends or makes discretionary shareholder distributions attributable to that revenue. This clause does not create security or priority over statutory or secured creditors.</w:t>
      </w:r>
    </w:p>
    <w:p>
      <w:pPr>
        <w:jc w:val="both"/>
      </w:pPr>
      <w:r>
        <w:rPr>
          <w:rFonts w:ascii="Calibri" w:hAnsi="Calibri"/>
          <w:b w:val="0"/>
          <w:i w:val="0"/>
          <w:color w:val="000000"/>
          <w:sz w:val="20"/>
        </w:rPr>
        <w:t>6.6 Specific Performance: The Parties acknowledge that damages alone would not be an adequate remedy for breach of this Agreement and that the Consultant shall be entitled to seek specific performance, injunctive relief, or any other equitable remedy in addition to any other rights or remedies available at law.</w:t>
      </w:r>
    </w:p>
    <w:p>
      <w:pPr>
        <w:jc w:val="both"/>
      </w:pPr>
      <w:r>
        <w:rPr>
          <w:rFonts w:ascii="Calibri" w:hAnsi="Calibri"/>
          <w:b w:val="0"/>
          <w:i w:val="0"/>
          <w:color w:val="000000"/>
          <w:sz w:val="20"/>
        </w:rPr>
        <w:t>6.7 Notification Obligation: The Company shall immediately notify the Consultant in writing of: (a) any proposed change in directorship; (b) any proposed transfer or reorganisation of shares; (c) any proposal to amend the articles of association; (d) any winding-up petition or insolvency event; (e) any shareholder resolution that may affect this Agreement; or (f) any proposal to admit a new shareholder or investor.</w:t>
      </w:r>
    </w:p>
    <w:p>
      <w:pPr>
        <w:jc w:val="both"/>
      </w:pPr>
      <w:r>
        <w:rPr>
          <w:rFonts w:ascii="Calibri" w:hAnsi="Calibri"/>
          <w:b w:val="0"/>
          <w:i w:val="0"/>
          <w:color w:val="000000"/>
          <w:sz w:val="20"/>
        </w:rPr>
        <w:t>6.8 Articles of Association: The Company shall, prior to any transfer of shares to a new shareholder, amend its Articles of Association to include the following provisions:</w:t>
      </w:r>
    </w:p>
    <w:p>
      <w:pPr>
        <w:jc w:val="both"/>
      </w:pPr>
      <w:r>
        <w:rPr>
          <w:rFonts w:ascii="Calibri" w:hAnsi="Calibri"/>
          <w:b w:val="0"/>
          <w:i w:val="0"/>
          <w:color w:val="000000"/>
          <w:sz w:val="20"/>
        </w:rPr>
        <w:t>(a) classification of the Team Operational Consultancy Agreement (this Agreement) as a "Protected Matter" requiring consent of shareholders holding at least seventy-five percent (75%) of voting shares (or unanimous consent if fewer than three shareholders) to modify or terminate during the Minimum Term, subject to Cap. 113;</w:t>
      </w:r>
    </w:p>
    <w:p>
      <w:pPr>
        <w:jc w:val="both"/>
      </w:pPr>
      <w:r>
        <w:rPr>
          <w:rFonts w:ascii="Calibri" w:hAnsi="Calibri"/>
          <w:b w:val="0"/>
          <w:i w:val="0"/>
          <w:color w:val="000000"/>
          <w:sz w:val="20"/>
        </w:rPr>
        <w:t>(b) a requirement that all share transfers are conditional upon the transferee executing the deed of acknowledgement described in Clause 6.3(b); and</w:t>
      </w:r>
    </w:p>
    <w:p>
      <w:pPr>
        <w:jc w:val="both"/>
      </w:pPr>
      <w:r>
        <w:rPr>
          <w:rFonts w:ascii="Calibri" w:hAnsi="Calibri"/>
          <w:b w:val="0"/>
          <w:i w:val="0"/>
          <w:color w:val="000000"/>
          <w:sz w:val="20"/>
        </w:rPr>
        <w:t>(c) a statement that the Company has a material contractual obligation to Moi Ostrov Ltd and that accrued fees shall be paid before discretionary dividends or distributions attributable to the relevant revenue, as provided in Clause 6.5.</w:t>
      </w:r>
    </w:p>
    <w:p>
      <w:r>
        <w:rPr>
          <w:rFonts w:ascii="Calibri" w:hAnsi="Calibri"/>
          <w:b w:val="0"/>
          <w:i w:val="0"/>
          <w:color w:val="000000"/>
          <w:sz w:val="20"/>
        </w:rPr>
        <w:t>═══ CLAUSE 7 — CONFLICT OF INTEREST ═══</w:t>
      </w:r>
    </w:p>
    <w:p>
      <w:pPr>
        <w:spacing w:before="280"/>
      </w:pPr>
      <w:r>
        <w:rPr>
          <w:rFonts w:ascii="Calibri" w:hAnsi="Calibri"/>
          <w:b/>
          <w:i w:val="0"/>
          <w:color w:val="C9A432"/>
          <w:sz w:val="24"/>
        </w:rPr>
        <w:t>7. Conflict of Interest Acknowledgement</w:t>
      </w:r>
    </w:p>
    <w:p>
      <w:pPr>
        <w:jc w:val="both"/>
      </w:pPr>
      <w:r>
        <w:rPr>
          <w:rFonts w:ascii="Calibri" w:hAnsi="Calibri"/>
          <w:b w:val="0"/>
          <w:i w:val="0"/>
          <w:color w:val="000000"/>
          <w:sz w:val="20"/>
        </w:rPr>
        <w:t>7.1 The Parties acknowledge that Alexander Papacosta is, as at the date of this Agreement, a director of both the Company and the Consultant. The Parties have considered this potential conflict of interest and have determined that this Agreement is in the best interests of the Company because:</w:t>
      </w:r>
    </w:p>
    <w:p>
      <w:pPr>
        <w:jc w:val="both"/>
      </w:pPr>
      <w:r>
        <w:rPr>
          <w:rFonts w:ascii="Calibri" w:hAnsi="Calibri"/>
          <w:b w:val="0"/>
          <w:i w:val="0"/>
          <w:color w:val="000000"/>
          <w:sz w:val="20"/>
        </w:rPr>
        <w:t>(a) the entire Existing Project pipeline was originated, developed, and secured through Alexander Papacosta's personal relationships, market knowledge, and business development activities;</w:t>
      </w:r>
    </w:p>
    <w:p>
      <w:pPr>
        <w:jc w:val="both"/>
      </w:pPr>
      <w:r>
        <w:rPr>
          <w:rFonts w:ascii="Calibri" w:hAnsi="Calibri"/>
          <w:b w:val="0"/>
          <w:i w:val="0"/>
          <w:color w:val="000000"/>
          <w:sz w:val="20"/>
        </w:rPr>
        <w:t>(b) the Consultant provides essential ongoing operational services (Schedule 3) that the Company would otherwise need to resource internally at comparable or greater cost;</w:t>
      </w:r>
    </w:p>
    <w:p>
      <w:pPr>
        <w:jc w:val="both"/>
      </w:pPr>
      <w:r>
        <w:rPr>
          <w:rFonts w:ascii="Calibri" w:hAnsi="Calibri"/>
          <w:b w:val="0"/>
          <w:i w:val="0"/>
          <w:color w:val="000000"/>
          <w:sz w:val="20"/>
        </w:rPr>
        <w:t>(c) the fee rates are commercially reasonable: the Origination Fee reflects the Consultant's contribution to the Existing Project portfolio (Schedule 1), and the Team Operations Fee reflects the market cost of outsourced project management and team operations in the EPC sector;</w:t>
      </w:r>
    </w:p>
    <w:p>
      <w:pPr>
        <w:jc w:val="both"/>
      </w:pPr>
      <w:r>
        <w:rPr>
          <w:rFonts w:ascii="Calibri" w:hAnsi="Calibri"/>
          <w:b w:val="0"/>
          <w:i w:val="0"/>
          <w:color w:val="000000"/>
          <w:sz w:val="20"/>
        </w:rPr>
        <w:t>(d) the sole shareholder of the Company (Lighthief International Ltd) has approved this Agreement by way of the Written Shareholder Resolution in Annex A;</w:t>
      </w:r>
    </w:p>
    <w:p>
      <w:pPr>
        <w:jc w:val="both"/>
      </w:pPr>
      <w:r>
        <w:rPr>
          <w:rFonts w:ascii="Calibri" w:hAnsi="Calibri"/>
          <w:b w:val="0"/>
          <w:i w:val="0"/>
          <w:color w:val="000000"/>
          <w:sz w:val="20"/>
        </w:rPr>
        <w:t>(e) the ultimate beneficial owner has provided a personal undertaking (Annex B) confirming his support for this Agreement;</w:t>
      </w:r>
    </w:p>
    <w:p>
      <w:pPr>
        <w:jc w:val="both"/>
      </w:pPr>
      <w:r>
        <w:rPr>
          <w:rFonts w:ascii="Calibri" w:hAnsi="Calibri"/>
          <w:b w:val="0"/>
          <w:i w:val="0"/>
          <w:color w:val="000000"/>
          <w:sz w:val="20"/>
        </w:rPr>
        <w:t>(f) the Shareholder obtained independent legal advice in connection with this Agreement before approving it.</w:t>
      </w:r>
    </w:p>
    <w:p>
      <w:pPr>
        <w:jc w:val="both"/>
      </w:pPr>
      <w:r>
        <w:rPr>
          <w:rFonts w:ascii="Calibri" w:hAnsi="Calibri"/>
          <w:b w:val="0"/>
          <w:i w:val="0"/>
          <w:color w:val="000000"/>
          <w:sz w:val="20"/>
        </w:rPr>
        <w:t>7.2 Alexander Papacosta has disclosed his interest as a director of both Parties in accordance with Section 191 of the Cyprus Companies Law, Cap. 113, and the Company's constitutional documents.</w:t>
      </w:r>
    </w:p>
    <w:p>
      <w:r>
        <w:rPr>
          <w:rFonts w:ascii="Calibri" w:hAnsi="Calibri"/>
          <w:b w:val="0"/>
          <w:i w:val="0"/>
          <w:color w:val="000000"/>
          <w:sz w:val="20"/>
        </w:rPr>
        <w:t>═══ CLAUSE 8 — LATE PAYMENT ═══</w:t>
      </w:r>
    </w:p>
    <w:p>
      <w:pPr>
        <w:spacing w:before="280"/>
      </w:pPr>
      <w:r>
        <w:rPr>
          <w:rFonts w:ascii="Calibri" w:hAnsi="Calibri"/>
          <w:b/>
          <w:i w:val="0"/>
          <w:color w:val="C9A432"/>
          <w:sz w:val="24"/>
        </w:rPr>
        <w:t>8. Late Payment and Remedies</w:t>
      </w:r>
    </w:p>
    <w:p>
      <w:pPr>
        <w:jc w:val="both"/>
      </w:pPr>
      <w:r>
        <w:rPr>
          <w:rFonts w:ascii="Calibri" w:hAnsi="Calibri"/>
          <w:b w:val="0"/>
          <w:i w:val="0"/>
          <w:color w:val="000000"/>
          <w:sz w:val="20"/>
        </w:rPr>
        <w:t>8.1 If the Company fails to pay any fee instalment within the fourteen (14) day period specified in Clauses 2.3 and 3.4, interest shall accrue on the overdue amount at the rate of 5% per annum above the European Central Bank base rate, compounded monthly, from the due date until the date of actual payment.</w:t>
      </w:r>
    </w:p>
    <w:p>
      <w:pPr>
        <w:jc w:val="both"/>
      </w:pPr>
      <w:r>
        <w:rPr>
          <w:rFonts w:ascii="Calibri" w:hAnsi="Calibri"/>
          <w:b w:val="0"/>
          <w:i w:val="0"/>
          <w:color w:val="000000"/>
          <w:sz w:val="20"/>
        </w:rPr>
        <w:t>8.2 If any fee payment remains overdue for more than thirty (30) days, the Consultant may, at its sole discretion:</w:t>
      </w:r>
    </w:p>
    <w:p>
      <w:pPr>
        <w:jc w:val="both"/>
      </w:pPr>
      <w:r>
        <w:rPr>
          <w:rFonts w:ascii="Calibri" w:hAnsi="Calibri"/>
          <w:b w:val="0"/>
          <w:i w:val="0"/>
          <w:color w:val="000000"/>
          <w:sz w:val="20"/>
        </w:rPr>
        <w:t>(a) declare the entire remaining fee across all revenue streams immediately due and payable;</w:t>
      </w:r>
    </w:p>
    <w:p>
      <w:pPr>
        <w:jc w:val="both"/>
      </w:pPr>
      <w:r>
        <w:rPr>
          <w:rFonts w:ascii="Calibri" w:hAnsi="Calibri"/>
          <w:b w:val="0"/>
          <w:i w:val="0"/>
          <w:color w:val="000000"/>
          <w:sz w:val="20"/>
        </w:rPr>
        <w:t>(b) commence legal proceedings or arbitration for recovery, including the costs of such proceedings;</w:t>
      </w:r>
    </w:p>
    <w:p>
      <w:pPr>
        <w:jc w:val="both"/>
      </w:pPr>
      <w:r>
        <w:rPr>
          <w:rFonts w:ascii="Calibri" w:hAnsi="Calibri"/>
          <w:b w:val="0"/>
          <w:i w:val="0"/>
          <w:color w:val="000000"/>
          <w:sz w:val="20"/>
        </w:rPr>
        <w:t>(c) apply for injunctive relief to prevent the Company from making discretionary distributions or disposing of assets in breach of Clause 6.5.</w:t>
      </w:r>
    </w:p>
    <w:p>
      <w:r>
        <w:rPr>
          <w:rFonts w:ascii="Calibri" w:hAnsi="Calibri"/>
          <w:b w:val="0"/>
          <w:i w:val="0"/>
          <w:color w:val="000000"/>
          <w:sz w:val="20"/>
        </w:rPr>
        <w:t>═══ CLAUSE 9 — CONFIDENTIALITY ═══</w:t>
      </w:r>
    </w:p>
    <w:p>
      <w:pPr>
        <w:spacing w:before="280"/>
      </w:pPr>
      <w:r>
        <w:rPr>
          <w:rFonts w:ascii="Calibri" w:hAnsi="Calibri"/>
          <w:b/>
          <w:i w:val="0"/>
          <w:color w:val="C9A432"/>
          <w:sz w:val="24"/>
        </w:rPr>
        <w:t>9. Confidentiality</w:t>
      </w:r>
    </w:p>
    <w:p>
      <w:pPr>
        <w:jc w:val="both"/>
      </w:pPr>
      <w:r>
        <w:rPr>
          <w:rFonts w:ascii="Calibri" w:hAnsi="Calibri"/>
          <w:b w:val="0"/>
          <w:i w:val="0"/>
          <w:color w:val="000000"/>
          <w:sz w:val="20"/>
        </w:rPr>
        <w:t>9.1 The terms of this Agreement shall be kept strictly confidential by both Parties. Neither Party shall disclose the existence or terms of this Agreement to any third party without the prior written consent of the other, except: (a) to professional advisers under equivalent confidentiality obligations; (b) as required by law or regulation; (c) in legal proceedings to enforce this Agreement; or (d) to a prospective new shareholder as required by Clause 6.3 (limited to confirmation that a material pre-existing obligation exists, with full terms disclosed only upon execution of a confidentiality undertaking).</w:t>
      </w:r>
    </w:p>
    <w:p>
      <w:r>
        <w:rPr>
          <w:rFonts w:ascii="Calibri" w:hAnsi="Calibri"/>
          <w:b w:val="0"/>
          <w:i w:val="0"/>
          <w:color w:val="000000"/>
          <w:sz w:val="20"/>
        </w:rPr>
        <w:t>═══ CLAUSE 10 — DISPUTE RESOLUTION ═══</w:t>
      </w:r>
    </w:p>
    <w:p>
      <w:pPr>
        <w:spacing w:before="280"/>
      </w:pPr>
      <w:r>
        <w:rPr>
          <w:rFonts w:ascii="Calibri" w:hAnsi="Calibri"/>
          <w:b/>
          <w:i w:val="0"/>
          <w:color w:val="C9A432"/>
          <w:sz w:val="24"/>
        </w:rPr>
        <w:t>10. Dispute Resolution</w:t>
      </w:r>
    </w:p>
    <w:p>
      <w:pPr>
        <w:jc w:val="both"/>
      </w:pPr>
      <w:r>
        <w:rPr>
          <w:rFonts w:ascii="Calibri" w:hAnsi="Calibri"/>
          <w:b w:val="0"/>
          <w:i w:val="0"/>
          <w:color w:val="000000"/>
          <w:sz w:val="20"/>
        </w:rPr>
        <w:t>10.1 Negotiation: Any dispute arising out of or in connection with this Agreement shall first be referred to the Parties' senior representatives for resolution by good-faith negotiation for a period of thirty (30) days.</w:t>
      </w:r>
    </w:p>
    <w:p>
      <w:pPr>
        <w:jc w:val="both"/>
      </w:pPr>
      <w:r>
        <w:rPr>
          <w:rFonts w:ascii="Calibri" w:hAnsi="Calibri"/>
          <w:b w:val="0"/>
          <w:i w:val="0"/>
          <w:color w:val="000000"/>
          <w:sz w:val="20"/>
        </w:rPr>
        <w:t>10.2 Arbitration: If the dispute is not resolved within thirty (30) days, either Party may refer it to binding arbitration under the ICC Rules of Arbitration. The arbitration shall be conducted by a sole arbitrator appointed in accordance with the ICC Rules. The seat of arbitration shall be Limassol, Cyprus. The language of arbitration shall be English. The arbitral award shall be final, binding, and enforceable in any jurisdiction.</w:t>
      </w:r>
    </w:p>
    <w:p>
      <w:pPr>
        <w:jc w:val="both"/>
      </w:pPr>
      <w:r>
        <w:rPr>
          <w:rFonts w:ascii="Calibri" w:hAnsi="Calibri"/>
          <w:b w:val="0"/>
          <w:i w:val="0"/>
          <w:color w:val="000000"/>
          <w:sz w:val="20"/>
        </w:rPr>
        <w:t>10.3 Interim Relief: Nothing in this clause shall prevent either Party from applying to the courts of Cyprus or any competent court for interim or conservatory measures, including injunctive relief, pending the outcome of arbitration.</w:t>
      </w:r>
    </w:p>
    <w:p>
      <w:r>
        <w:rPr>
          <w:rFonts w:ascii="Calibri" w:hAnsi="Calibri"/>
          <w:b w:val="0"/>
          <w:i w:val="0"/>
          <w:color w:val="000000"/>
          <w:sz w:val="20"/>
        </w:rPr>
        <w:t>═══ CLAUSE 11 — GENERAL ═══</w:t>
      </w:r>
    </w:p>
    <w:p>
      <w:pPr>
        <w:spacing w:before="280"/>
      </w:pPr>
      <w:r>
        <w:rPr>
          <w:rFonts w:ascii="Calibri" w:hAnsi="Calibri"/>
          <w:b/>
          <w:i w:val="0"/>
          <w:color w:val="C9A432"/>
          <w:sz w:val="24"/>
        </w:rPr>
        <w:t>11. General Provisions</w:t>
      </w:r>
    </w:p>
    <w:p>
      <w:pPr>
        <w:jc w:val="both"/>
      </w:pPr>
      <w:r>
        <w:rPr>
          <w:rFonts w:ascii="Calibri" w:hAnsi="Calibri"/>
          <w:b w:val="0"/>
          <w:i w:val="0"/>
          <w:color w:val="000000"/>
          <w:sz w:val="20"/>
        </w:rPr>
        <w:t>11.1 Entire Agreement: This Agreement (including the Schedules and Annexes) constitutes the entire agreement between the Parties in respect of the subject matter hereof and supersedes all prior agreements, understandings, representations, and discussions.</w:t>
      </w:r>
    </w:p>
    <w:p>
      <w:pPr>
        <w:jc w:val="both"/>
      </w:pPr>
      <w:r>
        <w:rPr>
          <w:rFonts w:ascii="Calibri" w:hAnsi="Calibri"/>
          <w:b w:val="0"/>
          <w:i w:val="0"/>
          <w:color w:val="000000"/>
          <w:sz w:val="20"/>
        </w:rPr>
        <w:t>11.2 Amendments: No amendment, variation, or waiver of this Agreement shall be effective unless made in writing and signed by both Parties, except as provided in Clause 5.3. Nothing in this Agreement prevents shareholders from exercising rights expressly conferred by the Companies Law, Cap. 113, or a court from determining any matter under applicable law.</w:t>
      </w:r>
    </w:p>
    <w:p>
      <w:pPr>
        <w:jc w:val="both"/>
      </w:pPr>
      <w:r>
        <w:rPr>
          <w:rFonts w:ascii="Calibri" w:hAnsi="Calibri"/>
          <w:b w:val="0"/>
          <w:i w:val="0"/>
          <w:color w:val="000000"/>
          <w:sz w:val="20"/>
        </w:rPr>
        <w:t>11.3 Assignment: The Consultant may freely assign its rights (but not obligations) under this Agreement to any entity owned or controlled by Alexander Papacosta. The Company may not assign or transfer its obligations under this Agreement without the Consultant's prior written consent, and any assignment shall require the assignee to assume all obligations hereunder.</w:t>
      </w:r>
    </w:p>
    <w:p>
      <w:pPr>
        <w:jc w:val="both"/>
      </w:pPr>
      <w:r>
        <w:rPr>
          <w:rFonts w:ascii="Calibri" w:hAnsi="Calibri"/>
          <w:b w:val="0"/>
          <w:i w:val="0"/>
          <w:color w:val="000000"/>
          <w:sz w:val="20"/>
        </w:rPr>
        <w:t>11.4 Severability: If any provision is held invalid or unenforceable, the remaining provisions shall continue in full force. The invalid provision shall be replaced by a valid provision that achieves the same commercial effect as closely as possible.</w:t>
      </w:r>
    </w:p>
    <w:p>
      <w:pPr>
        <w:jc w:val="both"/>
      </w:pPr>
      <w:r>
        <w:rPr>
          <w:rFonts w:ascii="Calibri" w:hAnsi="Calibri"/>
          <w:b w:val="0"/>
          <w:i w:val="0"/>
          <w:color w:val="000000"/>
          <w:sz w:val="20"/>
        </w:rPr>
        <w:t>11.5 No Waiver: No failure or delay in exercising any right shall constitute a waiver. A single or partial exercise of any right shall not preclude further exercise.</w:t>
      </w:r>
    </w:p>
    <w:p>
      <w:pPr>
        <w:jc w:val="both"/>
      </w:pPr>
      <w:r>
        <w:rPr>
          <w:rFonts w:ascii="Calibri" w:hAnsi="Calibri"/>
          <w:b w:val="0"/>
          <w:i w:val="0"/>
          <w:color w:val="000000"/>
          <w:sz w:val="20"/>
        </w:rPr>
        <w:t>11.6 Governing Law: This Agreement shall be governed by and construed in accordance with the laws of the Republic of Cyprus.</w:t>
      </w:r>
    </w:p>
    <w:p>
      <w:pPr>
        <w:jc w:val="both"/>
      </w:pPr>
      <w:r>
        <w:rPr>
          <w:rFonts w:ascii="Calibri" w:hAnsi="Calibri"/>
          <w:b w:val="0"/>
          <w:i w:val="0"/>
          <w:color w:val="000000"/>
          <w:sz w:val="20"/>
        </w:rPr>
        <w:t>11.7 Notices: All notices shall be in writing and sent to the registered addresses set out on the first page. Email to al@moiostrov.com (for the Consultant) and office@lighthief.com (for the Company) shall constitute valid notice.</w:t>
      </w:r>
    </w:p>
    <w:p>
      <w:pPr>
        <w:jc w:val="both"/>
      </w:pPr>
      <w:r>
        <w:rPr>
          <w:rFonts w:ascii="Calibri" w:hAnsi="Calibri"/>
          <w:b w:val="0"/>
          <w:i w:val="0"/>
          <w:color w:val="000000"/>
          <w:sz w:val="20"/>
        </w:rPr>
        <w:t>11.8 Counterparts: This Agreement may be executed in counterparts, each of which shall be deemed an original.</w:t>
      </w:r>
    </w:p>
    <w:p>
      <w:r>
        <w:rPr>
          <w:rFonts w:ascii="Calibri" w:hAnsi="Calibri"/>
          <w:b w:val="0"/>
          <w:i w:val="0"/>
          <w:color w:val="000000"/>
          <w:sz w:val="20"/>
        </w:rPr>
        <w:t>═══ CLAUSE 12 — ANTI-CIRCUMVENTION &amp; GROUP ENTITIES ═══</w:t>
      </w:r>
    </w:p>
    <w:p>
      <w:pPr>
        <w:spacing w:before="280"/>
      </w:pPr>
      <w:r>
        <w:rPr>
          <w:rFonts w:ascii="Calibri" w:hAnsi="Calibri"/>
          <w:b/>
          <w:i w:val="0"/>
          <w:color w:val="C9A432"/>
          <w:sz w:val="24"/>
        </w:rPr>
        <w:t>12. Anti-Circumvention, Group Entities and Transfer of Protected Projects</w:t>
      </w:r>
    </w:p>
    <w:p>
      <w:pPr>
        <w:jc w:val="both"/>
      </w:pPr>
      <w:r>
        <w:rPr>
          <w:rFonts w:ascii="Calibri" w:hAnsi="Calibri"/>
          <w:b w:val="0"/>
          <w:i w:val="0"/>
          <w:color w:val="000000"/>
          <w:sz w:val="20"/>
        </w:rPr>
        <w:t>12.1 Purpose: The Parties acknowledge that the Existing Project and the Cyprus BESS pipeline were originated by the Consultant for execution through the Company. The Consultant's fee would be defeated if Protected Projects were performed, invoiced, or paid through another member of the Group without equivalent fee payment.</w:t>
      </w:r>
    </w:p>
    <w:p>
      <w:pPr>
        <w:jc w:val="both"/>
      </w:pPr>
      <w:r>
        <w:rPr>
          <w:rFonts w:ascii="Calibri" w:hAnsi="Calibri"/>
          <w:b w:val="0"/>
          <w:i w:val="0"/>
          <w:color w:val="000000"/>
          <w:sz w:val="20"/>
        </w:rPr>
        <w:t>12.2 Mandatory contracting — Cyprus BESS: Unless the Consultant gives prior written consent, all Protected Projects physically located in the Republic of Cyprus shall be contracted, invoiced, and paid through Lighthief Cyprus Ltd as the sole EPC or supply counterparty to the end client (or the client's designated contracting entity).</w:t>
      </w:r>
    </w:p>
    <w:p>
      <w:pPr>
        <w:jc w:val="both"/>
      </w:pPr>
      <w:r>
        <w:rPr>
          <w:rFonts w:ascii="Calibri" w:hAnsi="Calibri"/>
          <w:b w:val="0"/>
          <w:i w:val="0"/>
          <w:color w:val="000000"/>
          <w:sz w:val="20"/>
        </w:rPr>
        <w:t>12.3 Sybaris-controlled entities: If any member of the Group (including any entity of which Dr. Arkadiusz Sybaris is the ultimate beneficial owner or controlling shareholder) enters into, performs, or receives revenue in respect of a Protected Project without the Company's being the contracting and invoicing party, then:</w:t>
      </w:r>
    </w:p>
    <w:p>
      <w:pPr>
        <w:jc w:val="both"/>
      </w:pPr>
      <w:r>
        <w:rPr>
          <w:rFonts w:ascii="Calibri" w:hAnsi="Calibri"/>
          <w:b w:val="0"/>
          <w:i w:val="0"/>
          <w:color w:val="000000"/>
          <w:sz w:val="20"/>
        </w:rPr>
        <w:t>(a) such receipt shall constitute a Deemed Group Receipt;</w:t>
      </w:r>
    </w:p>
    <w:p>
      <w:pPr>
        <w:jc w:val="both"/>
      </w:pPr>
      <w:r>
        <w:rPr>
          <w:rFonts w:ascii="Calibri" w:hAnsi="Calibri"/>
          <w:b w:val="0"/>
          <w:i w:val="0"/>
          <w:color w:val="000000"/>
          <w:sz w:val="20"/>
        </w:rPr>
        <w:t>(b) the applicable Origination Fee or Team Operations Fee shall be calculated on the same Net Margin or Net Revenue basis as if the Company had received the Client Price or revenue directly;</w:t>
      </w:r>
    </w:p>
    <w:p>
      <w:pPr>
        <w:jc w:val="both"/>
      </w:pPr>
      <w:r>
        <w:rPr>
          <w:rFonts w:ascii="Calibri" w:hAnsi="Calibri"/>
          <w:b w:val="0"/>
          <w:i w:val="0"/>
          <w:color w:val="000000"/>
          <w:sz w:val="20"/>
        </w:rPr>
        <w:t>(c) the Company shall pay such fee within fourteen (14) days of the Deemed Group Receipt; and</w:t>
      </w:r>
    </w:p>
    <w:p>
      <w:pPr>
        <w:jc w:val="both"/>
      </w:pPr>
      <w:r>
        <w:rPr>
          <w:rFonts w:ascii="Calibri" w:hAnsi="Calibri"/>
          <w:b w:val="0"/>
          <w:i w:val="0"/>
          <w:color w:val="000000"/>
          <w:sz w:val="20"/>
        </w:rPr>
        <w:t>(d) Dr. Arkadiusz Sybaris shall procure payment and performance under his personal undertaking (Annex B), and no Group entity shall contract Cyprus Protected Projects without a deed of adherence approved by the Consultant.</w:t>
      </w:r>
    </w:p>
    <w:p>
      <w:pPr>
        <w:jc w:val="both"/>
      </w:pPr>
      <w:r>
        <w:rPr>
          <w:rFonts w:ascii="Calibri" w:hAnsi="Calibri"/>
          <w:b w:val="0"/>
          <w:i w:val="0"/>
          <w:color w:val="000000"/>
          <w:sz w:val="20"/>
        </w:rPr>
        <w:t>12.4 Novation / transfer / hive-down: No Park, client contract, pipeline asset, or Protected Project may be novated, assigned, transferred, or hived down from the Company to any other person or Group member without:</w:t>
      </w:r>
    </w:p>
    <w:p>
      <w:pPr>
        <w:jc w:val="both"/>
      </w:pPr>
      <w:r>
        <w:rPr>
          <w:rFonts w:ascii="Calibri" w:hAnsi="Calibri"/>
          <w:b w:val="0"/>
          <w:i w:val="0"/>
          <w:color w:val="000000"/>
          <w:sz w:val="20"/>
        </w:rPr>
        <w:t>(a) the prior written consent of the Consultant; and</w:t>
      </w:r>
    </w:p>
    <w:p>
      <w:pPr>
        <w:jc w:val="both"/>
      </w:pPr>
      <w:r>
        <w:rPr>
          <w:rFonts w:ascii="Calibri" w:hAnsi="Calibri"/>
          <w:b w:val="0"/>
          <w:i w:val="0"/>
          <w:color w:val="000000"/>
          <w:sz w:val="20"/>
        </w:rPr>
        <w:t>(b) execution of a deed of assumption under which the transferee expressly assumes all obligations under this Agreement in respect of the transferred Protected Project.</w:t>
      </w:r>
    </w:p>
    <w:p>
      <w:pPr>
        <w:jc w:val="both"/>
      </w:pPr>
      <w:r>
        <w:rPr>
          <w:rFonts w:ascii="Calibri" w:hAnsi="Calibri"/>
          <w:b w:val="0"/>
          <w:i w:val="0"/>
          <w:color w:val="000000"/>
          <w:sz w:val="20"/>
        </w:rPr>
        <w:t>12.5 Client payment routing: The Company shall not instruct, permit, or facilitate any end client or intermediary to pay any amount in respect of a Protected Project to any bank account or entity other than the Company, except with the Consultant's prior written consent. Any payment received by a Group member in breach of this clause shall be a Deemed Group Receipt.</w:t>
      </w:r>
    </w:p>
    <w:p>
      <w:pPr>
        <w:jc w:val="both"/>
      </w:pPr>
      <w:r>
        <w:rPr>
          <w:rFonts w:ascii="Calibri" w:hAnsi="Calibri"/>
          <w:b w:val="0"/>
          <w:i w:val="0"/>
          <w:color w:val="000000"/>
          <w:sz w:val="20"/>
        </w:rPr>
        <w:t>12.6 Poland and non-Cyprus territories: This Agreement governs Cyprus Protected Projects. Part B shall not apply to BESS projects physically located outside the Republic of Cyprus unless expressly agreed in writing between the Parties for a named project. For the avoidance of doubt, Clause 12.2–12.5 apply regardless of where the contracting Group entity is incorporated — if the site is in Cyprus and the project is a Protected Project, fee obligations apply.</w:t>
      </w:r>
    </w:p>
    <w:p>
      <w:pPr>
        <w:jc w:val="both"/>
      </w:pPr>
      <w:r>
        <w:rPr>
          <w:rFonts w:ascii="Calibri" w:hAnsi="Calibri"/>
          <w:b w:val="0"/>
          <w:i w:val="0"/>
          <w:color w:val="000000"/>
          <w:sz w:val="20"/>
        </w:rPr>
        <w:t>12.7 Investor / third-party introduced business: Future Business introduced after the date of this Agreement by a third-party investor or shareholder (including any investor in the Company) shall remain subject to Part B when executed through the Company, unless the Parties execute a written carve-out for a named project before contract signature. Investor introduction does not reduce or extinguish fee obligations on Cyprus BESS revenue executed by the Company.</w:t>
      </w:r>
    </w:p>
    <w:p>
      <w:pPr>
        <w:jc w:val="both"/>
      </w:pPr>
      <w:r>
        <w:rPr>
          <w:rFonts w:ascii="Calibri" w:hAnsi="Calibri"/>
          <w:b w:val="0"/>
          <w:i w:val="0"/>
          <w:color w:val="000000"/>
          <w:sz w:val="20"/>
        </w:rPr>
        <w:t>12.8 Equitable remedy: Breach of this Clause 12 entitles the Consultant to seek injunctive relief, specific performance, and recovery of fees calculated on Deemed Group Receipts, in addition to any other remedy.</w:t>
      </w:r>
    </w:p>
    <w:p>
      <w:pPr>
        <w:sectPr>
          <w:footerReference w:type="default" r:id="rId11"/>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1 ═══</w:t>
      </w:r>
    </w:p>
    <w:p>
      <w:pPr>
        <w:spacing w:before="200"/>
      </w:pPr>
      <w:r>
        <w:rPr>
          <w:rFonts w:ascii="Calibri" w:hAnsi="Calibri"/>
          <w:b/>
          <w:i w:val="0"/>
          <w:color w:val="1A365D"/>
          <w:sz w:val="22"/>
        </w:rPr>
        <w:t>Schedule 1 — Existing Project Parks (Part A — Origination Fee)</w:t>
      </w:r>
    </w:p>
    <w:p>
      <w:pPr>
        <w:jc w:val="both"/>
      </w:pPr>
      <w:r>
        <w:rPr>
          <w:rFonts w:ascii="Calibri" w:hAnsi="Calibri"/>
          <w:b w:val="0"/>
          <w:i w:val="0"/>
          <w:color w:val="000000"/>
          <w:sz w:val="20"/>
        </w:rPr>
        <w:t>The Origination Fee applies to all Parks listed below. These were personally originated and secured by Alexander Papacosta.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365D" w:val="clear"/>
          </w:tcPr>
          <w:p>
            <w:pPr>
              <w:jc w:val="left"/>
            </w:pPr>
            <w:r>
              <w:rPr>
                <w:b/>
                <w:color w:val="FFFFFF"/>
              </w:rPr>
            </w:r>
            <w:r>
              <w:rPr>
                <w:rFonts w:ascii="Calibri" w:hAnsi="Calibri"/>
                <w:b/>
                <w:i w:val="0"/>
                <w:color w:val="FFFFFF"/>
                <w:sz w:val="18"/>
              </w:rPr>
              <w:t>Group</w:t>
            </w:r>
          </w:p>
        </w:tc>
        <w:tc>
          <w:tcPr>
            <w:tcW w:type="dxa" w:w="1881"/>
            <w:shd w:fill="1A365D" w:val="clear"/>
          </w:tcPr>
          <w:p>
            <w:pPr>
              <w:jc w:val="left"/>
            </w:pPr>
            <w:r>
              <w:rPr>
                <w:b/>
                <w:color w:val="FFFFFF"/>
              </w:rPr>
            </w:r>
            <w:r>
              <w:rPr>
                <w:rFonts w:ascii="Calibri" w:hAnsi="Calibri"/>
                <w:b/>
                <w:i w:val="0"/>
                <w:color w:val="FFFFFF"/>
                <w:sz w:val="18"/>
              </w:rPr>
              <w:t>Principal Client</w:t>
            </w:r>
          </w:p>
        </w:tc>
        <w:tc>
          <w:tcPr>
            <w:tcW w:type="dxa" w:w="1881"/>
            <w:shd w:fill="1A365D" w:val="clear"/>
          </w:tcPr>
          <w:p>
            <w:pPr>
              <w:jc w:val="left"/>
            </w:pPr>
            <w:r>
              <w:rPr>
                <w:b/>
                <w:color w:val="FFFFFF"/>
              </w:rPr>
            </w:r>
            <w:r>
              <w:rPr>
                <w:rFonts w:ascii="Calibri" w:hAnsi="Calibri"/>
                <w:b/>
                <w:i w:val="0"/>
                <w:color w:val="FFFFFF"/>
                <w:sz w:val="18"/>
              </w:rPr>
              <w:t>Parks</w:t>
            </w:r>
          </w:p>
        </w:tc>
        <w:tc>
          <w:tcPr>
            <w:tcW w:type="dxa" w:w="1881"/>
            <w:shd w:fill="1A365D" w:val="clear"/>
          </w:tcPr>
          <w:p>
            <w:pPr>
              <w:jc w:val="left"/>
            </w:pPr>
            <w:r>
              <w:rPr>
                <w:b/>
                <w:color w:val="FFFFFF"/>
              </w:rPr>
            </w:r>
            <w:r>
              <w:rPr>
                <w:rFonts w:ascii="Calibri" w:hAnsi="Calibri"/>
                <w:b/>
                <w:i w:val="0"/>
                <w:color w:val="FFFFFF"/>
                <w:sz w:val="18"/>
              </w:rPr>
              <w:t>Total MWh</w:t>
            </w:r>
          </w:p>
        </w:tc>
        <w:tc>
          <w:tcPr>
            <w:tcW w:type="dxa" w:w="1881"/>
            <w:shd w:fill="1A365D" w:val="clear"/>
          </w:tcPr>
          <w:p>
            <w:pPr>
              <w:jc w:val="left"/>
            </w:pPr>
            <w:r>
              <w:rPr>
                <w:b/>
                <w:color w:val="FFFFFF"/>
              </w:rPr>
            </w:r>
            <w:r>
              <w:rPr>
                <w:rFonts w:ascii="Calibri" w:hAnsi="Calibri"/>
                <w:b/>
                <w:i w:val="0"/>
                <w:color w:val="FFFFFF"/>
                <w:sz w:val="18"/>
              </w:rPr>
              <w:t>Affiliated Entities &amp; Projects</w:t>
            </w:r>
          </w:p>
        </w:tc>
      </w:tr>
      <w:tr>
        <w:tc>
          <w:tcPr>
            <w:tcW w:type="dxa" w:w="1881"/>
          </w:tcPr>
          <w:p>
            <w:r/>
            <w:r>
              <w:rPr>
                <w:rFonts w:ascii="Calibri" w:hAnsi="Calibri"/>
                <w:b w:val="0"/>
                <w:i w:val="0"/>
                <w:color w:val="000000"/>
                <w:sz w:val="18"/>
              </w:rPr>
              <w:t>G1</w:t>
            </w:r>
          </w:p>
        </w:tc>
        <w:tc>
          <w:tcPr>
            <w:tcW w:type="dxa" w:w="1881"/>
          </w:tcPr>
          <w:p>
            <w:r/>
            <w:r>
              <w:rPr>
                <w:rFonts w:ascii="Calibri" w:hAnsi="Calibri"/>
                <w:b w:val="0"/>
                <w:i w:val="0"/>
                <w:color w:val="000000"/>
                <w:sz w:val="18"/>
              </w:rPr>
              <w:t>ABIO Power Limited</w:t>
              <w:br/>
              <w:t>Iacovos Charalambous</w:t>
            </w:r>
          </w:p>
        </w:tc>
        <w:tc>
          <w:tcPr>
            <w:tcW w:type="dxa" w:w="1881"/>
          </w:tcPr>
          <w:p>
            <w:pPr>
              <w:jc w:val="right"/>
            </w:pPr>
            <w:r/>
            <w:r>
              <w:rPr>
                <w:rFonts w:ascii="Calibri" w:hAnsi="Calibri"/>
                <w:b w:val="0"/>
                <w:i w:val="0"/>
                <w:color w:val="000000"/>
                <w:sz w:val="18"/>
              </w:rPr>
              <w:t>25</w:t>
            </w:r>
          </w:p>
        </w:tc>
        <w:tc>
          <w:tcPr>
            <w:tcW w:type="dxa" w:w="1881"/>
          </w:tcPr>
          <w:p>
            <w:pPr>
              <w:jc w:val="right"/>
            </w:pPr>
            <w:r/>
            <w:r>
              <w:rPr>
                <w:rFonts w:ascii="Calibri" w:hAnsi="Calibri"/>
                <w:b w:val="0"/>
                <w:i w:val="0"/>
                <w:color w:val="000000"/>
                <w:sz w:val="18"/>
              </w:rPr>
              <w:t>430.3</w:t>
            </w:r>
          </w:p>
        </w:tc>
        <w:tc>
          <w:tcPr>
            <w:tcW w:type="dxa" w:w="1881"/>
          </w:tcPr>
          <w:p>
            <w:r/>
            <w:r>
              <w:rPr>
                <w:rFonts w:ascii="Calibri" w:hAnsi="Calibri"/>
                <w:b w:val="0"/>
                <w:i w:val="0"/>
                <w:color w:val="000000"/>
                <w:sz w:val="18"/>
              </w:rPr>
              <w:t>Greendorado (Agrivoltaic, Larnaca 1, Larnaca 2, 1), Agios Sozomenos, Dianary (1, 2, 3), ELESTORE (1–5), Easy Power (1–4), Polemi, Potamia (p151, p208), Renergetic (1, 2), Solarity, Solartech 3 Ext, Waneron</w:t>
            </w:r>
          </w:p>
        </w:tc>
      </w:tr>
      <w:tr>
        <w:tc>
          <w:tcPr>
            <w:tcW w:type="dxa" w:w="1881"/>
          </w:tcPr>
          <w:p>
            <w:r/>
            <w:r>
              <w:rPr>
                <w:rFonts w:ascii="Calibri" w:hAnsi="Calibri"/>
                <w:b w:val="0"/>
                <w:i w:val="0"/>
                <w:color w:val="000000"/>
                <w:sz w:val="18"/>
              </w:rPr>
              <w:t>G2</w:t>
            </w:r>
          </w:p>
        </w:tc>
        <w:tc>
          <w:tcPr>
            <w:tcW w:type="dxa" w:w="1881"/>
          </w:tcPr>
          <w:p>
            <w:r/>
            <w:r>
              <w:rPr>
                <w:rFonts w:ascii="Calibri" w:hAnsi="Calibri"/>
                <w:b w:val="0"/>
                <w:i w:val="0"/>
                <w:color w:val="000000"/>
                <w:sz w:val="18"/>
              </w:rPr>
              <w:t>Esperia Energy Group</w:t>
              <w:br/>
              <w:t>Dino Constantinou</w:t>
            </w:r>
          </w:p>
        </w:tc>
        <w:tc>
          <w:tcPr>
            <w:tcW w:type="dxa" w:w="1881"/>
          </w:tcPr>
          <w:p>
            <w:pPr>
              <w:jc w:val="right"/>
            </w:pPr>
            <w:r/>
            <w:r>
              <w:rPr>
                <w:rFonts w:ascii="Calibri" w:hAnsi="Calibri"/>
                <w:b w:val="0"/>
                <w:i w:val="0"/>
                <w:color w:val="000000"/>
                <w:sz w:val="18"/>
              </w:rPr>
              <w:t>11</w:t>
            </w:r>
          </w:p>
        </w:tc>
        <w:tc>
          <w:tcPr>
            <w:tcW w:type="dxa" w:w="1881"/>
          </w:tcPr>
          <w:p>
            <w:pPr>
              <w:jc w:val="right"/>
            </w:pPr>
            <w:r/>
            <w:r>
              <w:rPr>
                <w:rFonts w:ascii="Calibri" w:hAnsi="Calibri"/>
                <w:b w:val="0"/>
                <w:i w:val="0"/>
                <w:color w:val="000000"/>
                <w:sz w:val="18"/>
              </w:rPr>
              <w:t>310.5</w:t>
            </w:r>
          </w:p>
        </w:tc>
        <w:tc>
          <w:tcPr>
            <w:tcW w:type="dxa" w:w="1881"/>
          </w:tcPr>
          <w:p>
            <w:r/>
            <w:r>
              <w:rPr>
                <w:rFonts w:ascii="Calibri" w:hAnsi="Calibri"/>
                <w:b w:val="0"/>
                <w:i w:val="0"/>
                <w:color w:val="000000"/>
                <w:sz w:val="18"/>
              </w:rPr>
              <w:t>Esperia Famagusta (1, 2), Esperia Frenaros, Esperia Limassol, Esperia Tseri (1, 2a, 2b, 2c, 3), Galascope (1, 2)</w:t>
            </w:r>
          </w:p>
        </w:tc>
      </w:tr>
      <w:tr>
        <w:tc>
          <w:tcPr>
            <w:tcW w:type="dxa" w:w="1881"/>
          </w:tcPr>
          <w:p>
            <w:r/>
            <w:r>
              <w:rPr>
                <w:rFonts w:ascii="Calibri" w:hAnsi="Calibri"/>
                <w:b w:val="0"/>
                <w:i w:val="0"/>
                <w:color w:val="000000"/>
                <w:sz w:val="18"/>
              </w:rPr>
              <w:t>G3</w:t>
            </w:r>
          </w:p>
        </w:tc>
        <w:tc>
          <w:tcPr>
            <w:tcW w:type="dxa" w:w="1881"/>
          </w:tcPr>
          <w:p>
            <w:r/>
            <w:r>
              <w:rPr>
                <w:rFonts w:ascii="Calibri" w:hAnsi="Calibri"/>
                <w:b w:val="0"/>
                <w:i w:val="0"/>
                <w:color w:val="000000"/>
                <w:sz w:val="18"/>
              </w:rPr>
              <w:t>Lampros Andreadis</w:t>
            </w:r>
          </w:p>
        </w:tc>
        <w:tc>
          <w:tcPr>
            <w:tcW w:type="dxa" w:w="1881"/>
          </w:tcPr>
          <w:p>
            <w:pPr>
              <w:jc w:val="right"/>
            </w:pPr>
            <w:r/>
            <w:r>
              <w:rPr>
                <w:rFonts w:ascii="Calibri" w:hAnsi="Calibri"/>
                <w:b w:val="0"/>
                <w:i w:val="0"/>
                <w:color w:val="000000"/>
                <w:sz w:val="18"/>
              </w:rPr>
              <w:t>2</w:t>
            </w:r>
          </w:p>
        </w:tc>
        <w:tc>
          <w:tcPr>
            <w:tcW w:type="dxa" w:w="1881"/>
          </w:tcPr>
          <w:p>
            <w:pPr>
              <w:jc w:val="right"/>
            </w:pPr>
            <w:r/>
            <w:r>
              <w:rPr>
                <w:rFonts w:ascii="Calibri" w:hAnsi="Calibri"/>
                <w:b w:val="0"/>
                <w:i w:val="0"/>
                <w:color w:val="000000"/>
                <w:sz w:val="18"/>
              </w:rPr>
              <w:t>15.0</w:t>
            </w:r>
          </w:p>
        </w:tc>
        <w:tc>
          <w:tcPr>
            <w:tcW w:type="dxa" w:w="1881"/>
          </w:tcPr>
          <w:p>
            <w:r/>
            <w:r>
              <w:rPr>
                <w:rFonts w:ascii="Calibri" w:hAnsi="Calibri"/>
                <w:b w:val="0"/>
                <w:i w:val="0"/>
                <w:color w:val="000000"/>
                <w:sz w:val="18"/>
              </w:rPr>
              <w:t>Classone Solar Breeze Ltd, Classone Solar Garden Ltd</w:t>
            </w:r>
          </w:p>
        </w:tc>
      </w:tr>
      <w:tr>
        <w:tc>
          <w:tcPr>
            <w:tcW w:type="dxa" w:w="1881"/>
          </w:tcPr>
          <w:p>
            <w:r/>
            <w:r>
              <w:rPr>
                <w:rFonts w:ascii="Calibri" w:hAnsi="Calibri"/>
                <w:b w:val="0"/>
                <w:i w:val="0"/>
                <w:color w:val="000000"/>
                <w:sz w:val="18"/>
              </w:rPr>
              <w:t>G4</w:t>
            </w:r>
          </w:p>
        </w:tc>
        <w:tc>
          <w:tcPr>
            <w:tcW w:type="dxa" w:w="1881"/>
          </w:tcPr>
          <w:p>
            <w:r/>
            <w:r>
              <w:rPr>
                <w:rFonts w:ascii="Calibri" w:hAnsi="Calibri"/>
                <w:b w:val="0"/>
                <w:i w:val="0"/>
                <w:color w:val="000000"/>
                <w:sz w:val="18"/>
              </w:rPr>
              <w:t>A Kerasi Ltd</w:t>
              <w:br/>
              <w:t>Timotheos Timotheou</w:t>
            </w:r>
          </w:p>
        </w:tc>
        <w:tc>
          <w:tcPr>
            <w:tcW w:type="dxa" w:w="1881"/>
          </w:tcPr>
          <w:p>
            <w:pPr>
              <w:jc w:val="right"/>
            </w:pPr>
            <w:r/>
            <w:r>
              <w:rPr>
                <w:rFonts w:ascii="Calibri" w:hAnsi="Calibri"/>
                <w:b w:val="0"/>
                <w:i w:val="0"/>
                <w:color w:val="000000"/>
                <w:sz w:val="18"/>
              </w:rPr>
              <w:t>3</w:t>
            </w:r>
          </w:p>
        </w:tc>
        <w:tc>
          <w:tcPr>
            <w:tcW w:type="dxa" w:w="1881"/>
          </w:tcPr>
          <w:p>
            <w:pPr>
              <w:jc w:val="right"/>
            </w:pPr>
            <w:r/>
            <w:r>
              <w:rPr>
                <w:rFonts w:ascii="Calibri" w:hAnsi="Calibri"/>
                <w:b w:val="0"/>
                <w:i w:val="0"/>
                <w:color w:val="000000"/>
                <w:sz w:val="18"/>
              </w:rPr>
              <w:t>20.0</w:t>
            </w:r>
          </w:p>
        </w:tc>
        <w:tc>
          <w:tcPr>
            <w:tcW w:type="dxa" w:w="1881"/>
          </w:tcPr>
          <w:p>
            <w:r/>
            <w:r>
              <w:rPr>
                <w:rFonts w:ascii="Calibri" w:hAnsi="Calibri"/>
                <w:b w:val="0"/>
                <w:i w:val="0"/>
                <w:color w:val="000000"/>
                <w:sz w:val="18"/>
              </w:rPr>
              <w:t>Paphos 1, Paphos 2, Paphos 3</w:t>
            </w:r>
          </w:p>
        </w:tc>
      </w:tr>
      <w:tr>
        <w:tc>
          <w:tcPr>
            <w:tcW w:type="dxa" w:w="1881"/>
          </w:tcPr>
          <w:p>
            <w:r/>
            <w:r>
              <w:rPr>
                <w:rFonts w:ascii="Calibri" w:hAnsi="Calibri"/>
                <w:b w:val="0"/>
                <w:i w:val="0"/>
                <w:color w:val="000000"/>
                <w:sz w:val="18"/>
              </w:rPr>
              <w:t>G5</w:t>
            </w:r>
          </w:p>
        </w:tc>
        <w:tc>
          <w:tcPr>
            <w:tcW w:type="dxa" w:w="1881"/>
          </w:tcPr>
          <w:p>
            <w:r/>
            <w:r>
              <w:rPr>
                <w:rFonts w:ascii="Calibri" w:hAnsi="Calibri"/>
                <w:b w:val="0"/>
                <w:i w:val="0"/>
                <w:color w:val="000000"/>
                <w:sz w:val="18"/>
              </w:rPr>
              <w:t>Ioannis Karis</w:t>
            </w:r>
          </w:p>
        </w:tc>
        <w:tc>
          <w:tcPr>
            <w:tcW w:type="dxa" w:w="1881"/>
          </w:tcPr>
          <w:p>
            <w:pPr>
              <w:jc w:val="right"/>
            </w:pPr>
            <w:r/>
            <w:r>
              <w:rPr>
                <w:rFonts w:ascii="Calibri" w:hAnsi="Calibri"/>
                <w:b w:val="0"/>
                <w:i w:val="0"/>
                <w:color w:val="000000"/>
                <w:sz w:val="18"/>
              </w:rPr>
              <w:t>1</w:t>
            </w:r>
          </w:p>
        </w:tc>
        <w:tc>
          <w:tcPr>
            <w:tcW w:type="dxa" w:w="1881"/>
          </w:tcPr>
          <w:p>
            <w:pPr>
              <w:jc w:val="right"/>
            </w:pPr>
            <w:r/>
            <w:r>
              <w:rPr>
                <w:rFonts w:ascii="Calibri" w:hAnsi="Calibri"/>
                <w:b w:val="0"/>
                <w:i w:val="0"/>
                <w:color w:val="000000"/>
                <w:sz w:val="18"/>
              </w:rPr>
              <w:t>25.0</w:t>
            </w:r>
          </w:p>
        </w:tc>
        <w:tc>
          <w:tcPr>
            <w:tcW w:type="dxa" w:w="1881"/>
          </w:tcPr>
          <w:p>
            <w:r/>
            <w:r>
              <w:rPr>
                <w:rFonts w:ascii="Calibri" w:hAnsi="Calibri"/>
                <w:b w:val="0"/>
                <w:i w:val="0"/>
                <w:color w:val="000000"/>
                <w:sz w:val="18"/>
              </w:rPr>
              <w:t>My Sun Park (Monargouli)</w:t>
            </w:r>
          </w:p>
        </w:tc>
      </w:tr>
      <w:tr>
        <w:tc>
          <w:tcPr>
            <w:tcW w:type="dxa" w:w="1881"/>
          </w:tcPr>
          <w:p>
            <w:r/>
            <w:r>
              <w:rPr>
                <w:rFonts w:ascii="Calibri" w:hAnsi="Calibri"/>
                <w:b w:val="0"/>
                <w:i w:val="0"/>
                <w:color w:val="000000"/>
                <w:sz w:val="18"/>
              </w:rPr>
              <w:t>G6</w:t>
            </w:r>
          </w:p>
        </w:tc>
        <w:tc>
          <w:tcPr>
            <w:tcW w:type="dxa" w:w="1881"/>
          </w:tcPr>
          <w:p>
            <w:r/>
            <w:r>
              <w:rPr>
                <w:rFonts w:ascii="Calibri" w:hAnsi="Calibri"/>
                <w:b w:val="0"/>
                <w:i w:val="0"/>
                <w:color w:val="000000"/>
                <w:sz w:val="18"/>
              </w:rPr>
              <w:t>Timotheos Timotheou</w:t>
              <w:br/>
              <w:t>L&amp;T &amp; AGM Groups</w:t>
            </w:r>
          </w:p>
        </w:tc>
        <w:tc>
          <w:tcPr>
            <w:tcW w:type="dxa" w:w="1881"/>
          </w:tcPr>
          <w:p>
            <w:pPr>
              <w:jc w:val="right"/>
            </w:pPr>
            <w:r/>
            <w:r>
              <w:rPr>
                <w:rFonts w:ascii="Calibri" w:hAnsi="Calibri"/>
                <w:b w:val="0"/>
                <w:i w:val="0"/>
                <w:color w:val="000000"/>
                <w:sz w:val="18"/>
              </w:rPr>
              <w:t>9</w:t>
            </w:r>
          </w:p>
        </w:tc>
        <w:tc>
          <w:tcPr>
            <w:tcW w:type="dxa" w:w="1881"/>
          </w:tcPr>
          <w:p>
            <w:pPr>
              <w:jc w:val="right"/>
            </w:pPr>
            <w:r/>
            <w:r>
              <w:rPr>
                <w:rFonts w:ascii="Calibri" w:hAnsi="Calibri"/>
                <w:b w:val="0"/>
                <w:i w:val="0"/>
                <w:color w:val="000000"/>
                <w:sz w:val="18"/>
              </w:rPr>
              <w:t>81.0</w:t>
            </w:r>
          </w:p>
        </w:tc>
        <w:tc>
          <w:tcPr>
            <w:tcW w:type="dxa" w:w="1881"/>
          </w:tcPr>
          <w:p>
            <w:r/>
            <w:r>
              <w:rPr>
                <w:rFonts w:ascii="Calibri" w:hAnsi="Calibri"/>
                <w:b w:val="0"/>
                <w:i w:val="0"/>
                <w:color w:val="000000"/>
                <w:sz w:val="18"/>
              </w:rPr>
              <w:t>L&amp;T Res Systems, L&amp;T Solar Power, L&amp;T Sun Energy, L&amp;T Energia, L&amp;T PV Tech, AGM Lightpower, AGM Sunfield (1, 2, 3)</w:t>
            </w:r>
          </w:p>
        </w:tc>
      </w:tr>
      <w:tr>
        <w:tc>
          <w:tcPr>
            <w:tcW w:type="dxa" w:w="1881"/>
          </w:tcPr>
          <w:p>
            <w:r/>
            <w:r>
              <w:rPr>
                <w:rFonts w:ascii="Calibri" w:hAnsi="Calibri"/>
                <w:b w:val="0"/>
                <w:i w:val="0"/>
                <w:color w:val="000000"/>
                <w:sz w:val="18"/>
              </w:rPr>
              <w:t>TOTAL</w:t>
            </w:r>
          </w:p>
        </w:tc>
        <w:tc>
          <w:tcPr>
            <w:tcW w:type="dxa" w:w="1881"/>
          </w:tcPr>
          <w:p>
            <w:pPr>
              <w:jc w:val="right"/>
            </w:pPr>
            <w:r/>
            <w:r>
              <w:rPr>
                <w:rFonts w:ascii="Calibri" w:hAnsi="Calibri"/>
                <w:b w:val="0"/>
                <w:i w:val="0"/>
                <w:color w:val="000000"/>
                <w:sz w:val="18"/>
              </w:rPr>
              <w:t>51</w:t>
            </w:r>
          </w:p>
        </w:tc>
        <w:tc>
          <w:tcPr>
            <w:tcW w:type="dxa" w:w="1881"/>
          </w:tcPr>
          <w:p>
            <w:pPr>
              <w:jc w:val="right"/>
            </w:pPr>
            <w:r/>
            <w:r>
              <w:rPr>
                <w:rFonts w:ascii="Calibri" w:hAnsi="Calibri"/>
                <w:b w:val="0"/>
                <w:i w:val="0"/>
                <w:color w:val="000000"/>
                <w:sz w:val="18"/>
              </w:rPr>
              <w:t>~881.78</w:t>
            </w:r>
          </w:p>
        </w:tc>
        <w:tc>
          <w:tcPr>
            <w:tcW w:type="dxa" w:w="1881"/>
          </w:tcPr>
          <w:p>
            <w:r/>
            <w:r>
              <w:rPr>
                <w:rFonts w:ascii="Calibri" w:hAnsi="Calibri"/>
                <w:b w:val="0"/>
                <w:i w:val="0"/>
                <w:color w:val="000000"/>
                <w:sz w:val="18"/>
              </w:rPr>
              <w:t>All affiliated entities, subsidiaries, and associated projects</w:t>
            </w:r>
          </w:p>
        </w:tc>
        <w:tc>
          <w:tcPr>
            <w:tcW w:type="dxa" w:w="1881"/>
          </w:tcPr>
          <w:p>
            <w:r/>
          </w:p>
        </w:tc>
      </w:tr>
    </w:tbl>
    <w:p/>
    <w:p>
      <w:pPr>
        <w:sectPr>
          <w:footerReference w:type="default" r:id="rId12"/>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2 — MARGIN FORMULA ═══</w:t>
      </w:r>
    </w:p>
    <w:p>
      <w:pPr>
        <w:spacing w:before="200"/>
      </w:pPr>
      <w:r>
        <w:rPr>
          <w:rFonts w:ascii="Calibri" w:hAnsi="Calibri"/>
          <w:b/>
          <w:i w:val="0"/>
          <w:color w:val="1A365D"/>
          <w:sz w:val="22"/>
        </w:rPr>
        <w:t>Schedule 2 — Net Margin Calculation Example</w:t>
      </w:r>
    </w:p>
    <w:p>
      <w:pPr>
        <w:jc w:val="both"/>
      </w:pPr>
      <w:r>
        <w:rPr>
          <w:rFonts w:ascii="Calibri" w:hAnsi="Calibri"/>
          <w:b w:val="0"/>
          <w:i w:val="0"/>
          <w:color w:val="000000"/>
          <w:sz w:val="20"/>
        </w:rPr>
        <w:t>Illustrative example for a typical 5 MW / 20 MWh park. Actual figures per Park shall be calculated from invoiced amounts.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Item</w:t>
            </w:r>
          </w:p>
        </w:tc>
        <w:tc>
          <w:tcPr>
            <w:tcW w:type="dxa" w:w="3135"/>
            <w:shd w:fill="1A365D" w:val="clear"/>
          </w:tcPr>
          <w:p>
            <w:pPr>
              <w:jc w:val="right"/>
            </w:pPr>
            <w:r>
              <w:rPr>
                <w:b/>
                <w:color w:val="FFFFFF"/>
              </w:rPr>
            </w:r>
            <w:r>
              <w:rPr>
                <w:rFonts w:ascii="Calibri" w:hAnsi="Calibri"/>
                <w:b/>
                <w:i w:val="0"/>
                <w:color w:val="FFFFFF"/>
                <w:sz w:val="18"/>
              </w:rPr>
              <w:t>Amount</w:t>
            </w:r>
          </w:p>
        </w:tc>
        <w:tc>
          <w:tcPr>
            <w:tcW w:type="dxa" w:w="3135"/>
            <w:shd w:fill="1A365D" w:val="clear"/>
          </w:tcPr>
          <w:p>
            <w:pPr>
              <w:jc w:val="left"/>
            </w:pPr>
            <w:r>
              <w:rPr>
                <w:b/>
                <w:color w:val="FFFFFF"/>
              </w:rPr>
            </w:r>
            <w:r>
              <w:rPr>
                <w:rFonts w:ascii="Calibri" w:hAnsi="Calibri"/>
                <w:b/>
                <w:i w:val="0"/>
                <w:color w:val="FFFFFF"/>
                <w:sz w:val="18"/>
              </w:rPr>
              <w:t>Source</w:t>
            </w:r>
          </w:p>
        </w:tc>
      </w:tr>
      <w:tr>
        <w:tc>
          <w:tcPr>
            <w:tcW w:type="dxa" w:w="3135"/>
          </w:tcPr>
          <w:p>
            <w:r/>
            <w:r>
              <w:rPr>
                <w:rFonts w:ascii="Calibri" w:hAnsi="Calibri"/>
                <w:b w:val="0"/>
                <w:i w:val="0"/>
                <w:color w:val="000000"/>
                <w:sz w:val="18"/>
              </w:rPr>
              <w:t>A. Client Price (invoiced to end client)</w:t>
            </w:r>
          </w:p>
        </w:tc>
        <w:tc>
          <w:tcPr>
            <w:tcW w:type="dxa" w:w="3135"/>
          </w:tcPr>
          <w:p>
            <w:pPr>
              <w:jc w:val="right"/>
            </w:pPr>
            <w:r/>
            <w:r>
              <w:rPr>
                <w:rFonts w:ascii="Calibri" w:hAnsi="Calibri"/>
                <w:b w:val="0"/>
                <w:i w:val="0"/>
                <w:color w:val="000000"/>
                <w:sz w:val="18"/>
              </w:rPr>
              <w:t>€2,139,000</w:t>
            </w:r>
          </w:p>
        </w:tc>
        <w:tc>
          <w:tcPr>
            <w:tcW w:type="dxa" w:w="3135"/>
          </w:tcPr>
          <w:p>
            <w:r/>
            <w:r>
              <w:rPr>
                <w:rFonts w:ascii="Calibri" w:hAnsi="Calibri"/>
                <w:b w:val="0"/>
                <w:i w:val="0"/>
                <w:color w:val="000000"/>
                <w:sz w:val="18"/>
              </w:rPr>
              <w:t>EPC Contract</w:t>
            </w:r>
          </w:p>
        </w:tc>
      </w:tr>
      <w:tr>
        <w:tc>
          <w:tcPr>
            <w:tcW w:type="dxa" w:w="3135"/>
          </w:tcPr>
          <w:p>
            <w:r/>
            <w:r>
              <w:rPr>
                <w:rFonts w:ascii="Calibri" w:hAnsi="Calibri"/>
                <w:b w:val="0"/>
                <w:i w:val="0"/>
                <w:color w:val="000000"/>
                <w:sz w:val="18"/>
              </w:rPr>
              <w:t>B. CIF Cost (Linyang equipment, landed Limassol)</w:t>
            </w:r>
          </w:p>
        </w:tc>
        <w:tc>
          <w:tcPr>
            <w:tcW w:type="dxa" w:w="3135"/>
          </w:tcPr>
          <w:p>
            <w:pPr>
              <w:jc w:val="right"/>
            </w:pPr>
            <w:r/>
            <w:r>
              <w:rPr>
                <w:rFonts w:ascii="Calibri" w:hAnsi="Calibri"/>
                <w:b w:val="0"/>
                <w:i w:val="0"/>
                <w:color w:val="000000"/>
                <w:sz w:val="18"/>
              </w:rPr>
              <w:t>(€1,467,000)</w:t>
            </w:r>
          </w:p>
        </w:tc>
        <w:tc>
          <w:tcPr>
            <w:tcW w:type="dxa" w:w="3135"/>
          </w:tcPr>
          <w:p>
            <w:r/>
            <w:r>
              <w:rPr>
                <w:rFonts w:ascii="Calibri" w:hAnsi="Calibri"/>
                <w:b w:val="0"/>
                <w:i w:val="0"/>
                <w:color w:val="000000"/>
                <w:sz w:val="18"/>
              </w:rPr>
              <w:t>Linyang invoice</w:t>
            </w:r>
          </w:p>
        </w:tc>
      </w:tr>
      <w:tr>
        <w:tc>
          <w:tcPr>
            <w:tcW w:type="dxa" w:w="3135"/>
          </w:tcPr>
          <w:p>
            <w:r/>
            <w:r>
              <w:rPr>
                <w:rFonts w:ascii="Calibri" w:hAnsi="Calibri"/>
                <w:b w:val="0"/>
                <w:i w:val="0"/>
                <w:color w:val="000000"/>
                <w:sz w:val="18"/>
              </w:rPr>
              <w:t>C. EPC Cost (civil, electrical, SCADA, logistics, etc.)</w:t>
            </w:r>
          </w:p>
        </w:tc>
        <w:tc>
          <w:tcPr>
            <w:tcW w:type="dxa" w:w="3135"/>
          </w:tcPr>
          <w:p>
            <w:pPr>
              <w:jc w:val="right"/>
            </w:pPr>
            <w:r/>
            <w:r>
              <w:rPr>
                <w:rFonts w:ascii="Calibri" w:hAnsi="Calibri"/>
                <w:b w:val="0"/>
                <w:i w:val="0"/>
                <w:color w:val="000000"/>
                <w:sz w:val="18"/>
              </w:rPr>
              <w:t>(€395,000)</w:t>
            </w:r>
          </w:p>
        </w:tc>
        <w:tc>
          <w:tcPr>
            <w:tcW w:type="dxa" w:w="3135"/>
          </w:tcPr>
          <w:p>
            <w:r/>
            <w:r>
              <w:rPr>
                <w:rFonts w:ascii="Calibri" w:hAnsi="Calibri"/>
                <w:b w:val="0"/>
                <w:i w:val="0"/>
                <w:color w:val="000000"/>
                <w:sz w:val="18"/>
              </w:rPr>
              <w:t>Company records</w:t>
            </w:r>
          </w:p>
        </w:tc>
      </w:tr>
      <w:tr>
        <w:tc>
          <w:tcPr>
            <w:tcW w:type="dxa" w:w="3135"/>
          </w:tcPr>
          <w:p>
            <w:r/>
            <w:r>
              <w:rPr>
                <w:rFonts w:ascii="Calibri" w:hAnsi="Calibri"/>
                <w:b w:val="0"/>
                <w:i w:val="0"/>
                <w:color w:val="000000"/>
                <w:sz w:val="18"/>
              </w:rPr>
              <w:t>Net Margin (A − B − C)</w:t>
            </w:r>
          </w:p>
        </w:tc>
        <w:tc>
          <w:tcPr>
            <w:tcW w:type="dxa" w:w="3135"/>
          </w:tcPr>
          <w:p>
            <w:pPr>
              <w:jc w:val="right"/>
            </w:pPr>
            <w:r/>
            <w:r>
              <w:rPr>
                <w:rFonts w:ascii="Calibri" w:hAnsi="Calibri"/>
                <w:b w:val="0"/>
                <w:i w:val="0"/>
                <w:color w:val="000000"/>
                <w:sz w:val="18"/>
              </w:rPr>
              <w:t>€277,000</w:t>
            </w:r>
          </w:p>
        </w:tc>
        <w:tc>
          <w:tcPr>
            <w:tcW w:type="dxa" w:w="3135"/>
          </w:tcPr>
          <w:p>
            <w:r/>
          </w:p>
        </w:tc>
      </w:tr>
      <w:tr>
        <w:tc>
          <w:tcPr>
            <w:tcW w:type="dxa" w:w="3135"/>
          </w:tcPr>
          <w:p>
            <w:r/>
            <w:r>
              <w:rPr>
                <w:rFonts w:ascii="Calibri" w:hAnsi="Calibri"/>
                <w:b w:val="0"/>
                <w:i w:val="0"/>
                <w:color w:val="000000"/>
                <w:sz w:val="18"/>
              </w:rPr>
              <w:t>Origination Fee / Team Operations Fee (30%)</w:t>
            </w:r>
          </w:p>
        </w:tc>
        <w:tc>
          <w:tcPr>
            <w:tcW w:type="dxa" w:w="3135"/>
          </w:tcPr>
          <w:p>
            <w:pPr>
              <w:jc w:val="right"/>
            </w:pPr>
            <w:r/>
            <w:r>
              <w:rPr>
                <w:rFonts w:ascii="Calibri" w:hAnsi="Calibri"/>
                <w:b w:val="0"/>
                <w:i w:val="0"/>
                <w:color w:val="000000"/>
                <w:sz w:val="18"/>
              </w:rPr>
              <w:t>€83,100</w:t>
            </w:r>
          </w:p>
        </w:tc>
        <w:tc>
          <w:tcPr>
            <w:tcW w:type="dxa" w:w="3135"/>
          </w:tcPr>
          <w:p>
            <w:r/>
            <w:r>
              <w:rPr>
                <w:rFonts w:ascii="Calibri" w:hAnsi="Calibri"/>
                <w:b w:val="0"/>
                <w:i w:val="0"/>
                <w:color w:val="000000"/>
                <w:sz w:val="18"/>
              </w:rPr>
              <w:t>Payable to Consultant</w:t>
            </w:r>
          </w:p>
        </w:tc>
      </w:tr>
    </w:tbl>
    <w:p/>
    <w:p>
      <w:pPr>
        <w:sectPr>
          <w:footerReference w:type="default" r:id="rId13"/>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3 — SCOPE OF SERVICES ═══</w:t>
      </w:r>
    </w:p>
    <w:p>
      <w:pPr>
        <w:spacing w:before="200"/>
      </w:pPr>
      <w:r>
        <w:rPr>
          <w:rFonts w:ascii="Calibri" w:hAnsi="Calibri"/>
          <w:b/>
          <w:i w:val="0"/>
          <w:color w:val="1A365D"/>
          <w:sz w:val="22"/>
        </w:rPr>
        <w:t>Schedule 3 — Scope of Ongoing Operational Services</w:t>
      </w:r>
    </w:p>
    <w:p>
      <w:pPr>
        <w:jc w:val="both"/>
      </w:pPr>
      <w:r>
        <w:rPr>
          <w:rFonts w:ascii="Calibri" w:hAnsi="Calibri"/>
          <w:b w:val="0"/>
          <w:i w:val="0"/>
          <w:color w:val="000000"/>
          <w:sz w:val="20"/>
        </w:rPr>
        <w:t>The Consultant provides the following operational services to the Company through its team, under the direction and control of Alexander Papacosta.</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pPr>
              <w:jc w:val="left"/>
            </w:pPr>
            <w:r>
              <w:rPr>
                <w:b/>
                <w:color w:val="FFFFFF"/>
              </w:rPr>
            </w:r>
            <w:r>
              <w:rPr>
                <w:rFonts w:ascii="Calibri" w:hAnsi="Calibri"/>
                <w:b/>
                <w:i w:val="0"/>
                <w:color w:val="FFFFFF"/>
                <w:sz w:val="18"/>
              </w:rPr>
              <w:t>Service Area</w:t>
            </w:r>
          </w:p>
        </w:tc>
        <w:tc>
          <w:tcPr>
            <w:tcW w:type="dxa" w:w="4703"/>
            <w:shd w:fill="1A365D" w:val="clear"/>
          </w:tcPr>
          <w:p>
            <w:pPr>
              <w:jc w:val="left"/>
            </w:pPr>
            <w:r>
              <w:rPr>
                <w:b/>
                <w:color w:val="FFFFFF"/>
              </w:rPr>
            </w:r>
            <w:r>
              <w:rPr>
                <w:rFonts w:ascii="Calibri" w:hAnsi="Calibri"/>
                <w:b/>
                <w:i w:val="0"/>
                <w:color w:val="FFFFFF"/>
                <w:sz w:val="18"/>
              </w:rPr>
              <w:t>Description</w:t>
            </w:r>
          </w:p>
        </w:tc>
      </w:tr>
      <w:tr>
        <w:tc>
          <w:tcPr>
            <w:tcW w:type="dxa" w:w="4703"/>
          </w:tcPr>
          <w:p>
            <w:r/>
            <w:r>
              <w:rPr>
                <w:rFonts w:ascii="Calibri" w:hAnsi="Calibri"/>
                <w:b w:val="0"/>
                <w:i w:val="0"/>
                <w:color w:val="000000"/>
                <w:sz w:val="18"/>
              </w:rPr>
              <w:t>Project Management</w:t>
            </w:r>
          </w:p>
        </w:tc>
        <w:tc>
          <w:tcPr>
            <w:tcW w:type="dxa" w:w="4703"/>
          </w:tcPr>
          <w:p>
            <w:r/>
            <w:r>
              <w:rPr>
                <w:rFonts w:ascii="Calibri" w:hAnsi="Calibri"/>
                <w:b w:val="0"/>
                <w:i w:val="0"/>
                <w:color w:val="000000"/>
                <w:sz w:val="18"/>
              </w:rPr>
              <w:t>End-to-end management of BESS EPC projects from contract award through commissioning and handover. Includes scheduling, milestone tracking, resource planning, and progress reporting to clients and stakeholders.</w:t>
            </w:r>
          </w:p>
        </w:tc>
      </w:tr>
      <w:tr>
        <w:tc>
          <w:tcPr>
            <w:tcW w:type="dxa" w:w="4703"/>
          </w:tcPr>
          <w:p>
            <w:r/>
            <w:r>
              <w:rPr>
                <w:rFonts w:ascii="Calibri" w:hAnsi="Calibri"/>
                <w:b w:val="0"/>
                <w:i w:val="0"/>
                <w:color w:val="000000"/>
                <w:sz w:val="18"/>
              </w:rPr>
              <w:t>Team Coordination &amp; Supervision</w:t>
            </w:r>
          </w:p>
        </w:tc>
        <w:tc>
          <w:tcPr>
            <w:tcW w:type="dxa" w:w="4703"/>
          </w:tcPr>
          <w:p>
            <w:r/>
            <w:r>
              <w:rPr>
                <w:rFonts w:ascii="Calibri" w:hAnsi="Calibri"/>
                <w:b w:val="0"/>
                <w:i w:val="0"/>
                <w:color w:val="000000"/>
                <w:sz w:val="18"/>
              </w:rPr>
              <w:t>Recruitment, coordination, and supervision of the operational team including site engineers, commissioning specialists, logistics coordinators, and administrative support. Includes performance management and team development.</w:t>
            </w:r>
          </w:p>
        </w:tc>
      </w:tr>
      <w:tr>
        <w:tc>
          <w:tcPr>
            <w:tcW w:type="dxa" w:w="4703"/>
          </w:tcPr>
          <w:p>
            <w:r/>
            <w:r>
              <w:rPr>
                <w:rFonts w:ascii="Calibri" w:hAnsi="Calibri"/>
                <w:b w:val="0"/>
                <w:i w:val="0"/>
                <w:color w:val="000000"/>
                <w:sz w:val="18"/>
              </w:rPr>
              <w:t>Subcontractor Procurement</w:t>
            </w:r>
          </w:p>
        </w:tc>
        <w:tc>
          <w:tcPr>
            <w:tcW w:type="dxa" w:w="4703"/>
          </w:tcPr>
          <w:p>
            <w:r/>
            <w:r>
              <w:rPr>
                <w:rFonts w:ascii="Calibri" w:hAnsi="Calibri"/>
                <w:b w:val="0"/>
                <w:i w:val="0"/>
                <w:color w:val="000000"/>
                <w:sz w:val="18"/>
              </w:rPr>
              <w:t>Identification, negotiation, contracting, and management of subcontractors for civil works, electrical installation, crane hire, transport, lightning protection, earthing, and other specialist services.</w:t>
            </w:r>
          </w:p>
        </w:tc>
      </w:tr>
      <w:tr>
        <w:tc>
          <w:tcPr>
            <w:tcW w:type="dxa" w:w="4703"/>
          </w:tcPr>
          <w:p>
            <w:r/>
            <w:r>
              <w:rPr>
                <w:rFonts w:ascii="Calibri" w:hAnsi="Calibri"/>
                <w:b w:val="0"/>
                <w:i w:val="0"/>
                <w:color w:val="000000"/>
                <w:sz w:val="18"/>
              </w:rPr>
              <w:t>Client Relationship Management</w:t>
            </w:r>
          </w:p>
        </w:tc>
        <w:tc>
          <w:tcPr>
            <w:tcW w:type="dxa" w:w="4703"/>
          </w:tcPr>
          <w:p>
            <w:r/>
            <w:r>
              <w:rPr>
                <w:rFonts w:ascii="Calibri" w:hAnsi="Calibri"/>
                <w:b w:val="0"/>
                <w:i w:val="0"/>
                <w:color w:val="000000"/>
                <w:sz w:val="18"/>
              </w:rPr>
              <w:t>Ongoing management of relationships with all six client groups, aggregators (ABIO, Synenergia), and individual park owners. Includes contract negotiations, progress updates, and issue resolution.</w:t>
            </w:r>
          </w:p>
        </w:tc>
      </w:tr>
      <w:tr>
        <w:tc>
          <w:tcPr>
            <w:tcW w:type="dxa" w:w="4703"/>
          </w:tcPr>
          <w:p>
            <w:r/>
            <w:r>
              <w:rPr>
                <w:rFonts w:ascii="Calibri" w:hAnsi="Calibri"/>
                <w:b w:val="0"/>
                <w:i w:val="0"/>
                <w:color w:val="000000"/>
                <w:sz w:val="18"/>
              </w:rPr>
              <w:t>Supply Chain Management</w:t>
            </w:r>
          </w:p>
        </w:tc>
        <w:tc>
          <w:tcPr>
            <w:tcW w:type="dxa" w:w="4703"/>
          </w:tcPr>
          <w:p>
            <w:r/>
            <w:r>
              <w:rPr>
                <w:rFonts w:ascii="Calibri" w:hAnsi="Calibri"/>
                <w:b w:val="0"/>
                <w:i w:val="0"/>
                <w:color w:val="000000"/>
                <w:sz w:val="18"/>
              </w:rPr>
              <w:t>Coordination with Linyang/Solarfun (equipment supply), Voltus Energy (EMS/SCADA), DEHN (lightning protection), and all other suppliers. Includes order management, delivery scheduling, quality verification, and warranty coordination.</w:t>
            </w:r>
          </w:p>
        </w:tc>
      </w:tr>
      <w:tr>
        <w:tc>
          <w:tcPr>
            <w:tcW w:type="dxa" w:w="4703"/>
          </w:tcPr>
          <w:p>
            <w:r/>
            <w:r>
              <w:rPr>
                <w:rFonts w:ascii="Calibri" w:hAnsi="Calibri"/>
                <w:b w:val="0"/>
                <w:i w:val="0"/>
                <w:color w:val="000000"/>
                <w:sz w:val="18"/>
              </w:rPr>
              <w:t>EPC Execution Planning</w:t>
            </w:r>
          </w:p>
        </w:tc>
        <w:tc>
          <w:tcPr>
            <w:tcW w:type="dxa" w:w="4703"/>
          </w:tcPr>
          <w:p>
            <w:r/>
            <w:r>
              <w:rPr>
                <w:rFonts w:ascii="Calibri" w:hAnsi="Calibri"/>
                <w:b w:val="0"/>
                <w:i w:val="0"/>
                <w:color w:val="000000"/>
                <w:sz w:val="18"/>
              </w:rPr>
              <w:t>Technical planning for site preparation, foundation design coordination, container placement, electrical interconnection, grid connection scheduling, and DSO coordination.</w:t>
            </w:r>
          </w:p>
        </w:tc>
      </w:tr>
      <w:tr>
        <w:tc>
          <w:tcPr>
            <w:tcW w:type="dxa" w:w="4703"/>
          </w:tcPr>
          <w:p>
            <w:r/>
            <w:r>
              <w:rPr>
                <w:rFonts w:ascii="Calibri" w:hAnsi="Calibri"/>
                <w:b w:val="0"/>
                <w:i w:val="0"/>
                <w:color w:val="000000"/>
                <w:sz w:val="18"/>
              </w:rPr>
              <w:t>Quality Assurance &amp; Compliance</w:t>
            </w:r>
          </w:p>
        </w:tc>
        <w:tc>
          <w:tcPr>
            <w:tcW w:type="dxa" w:w="4703"/>
          </w:tcPr>
          <w:p>
            <w:r/>
            <w:r>
              <w:rPr>
                <w:rFonts w:ascii="Calibri" w:hAnsi="Calibri"/>
                <w:b w:val="0"/>
                <w:i w:val="0"/>
                <w:color w:val="000000"/>
                <w:sz w:val="18"/>
              </w:rPr>
              <w:t>Oversight of installation quality standards, regulatory compliance (CERA, TSOC, DSO), health and safety, environmental compliance, and commissioning protocols.</w:t>
            </w:r>
          </w:p>
        </w:tc>
      </w:tr>
      <w:tr>
        <w:tc>
          <w:tcPr>
            <w:tcW w:type="dxa" w:w="4703"/>
          </w:tcPr>
          <w:p>
            <w:r/>
            <w:r>
              <w:rPr>
                <w:rFonts w:ascii="Calibri" w:hAnsi="Calibri"/>
                <w:b w:val="0"/>
                <w:i w:val="0"/>
                <w:color w:val="000000"/>
                <w:sz w:val="18"/>
              </w:rPr>
              <w:t>Commercial &amp; Financial Management</w:t>
            </w:r>
          </w:p>
        </w:tc>
        <w:tc>
          <w:tcPr>
            <w:tcW w:type="dxa" w:w="4703"/>
          </w:tcPr>
          <w:p>
            <w:r/>
            <w:r>
              <w:rPr>
                <w:rFonts w:ascii="Calibri" w:hAnsi="Calibri"/>
                <w:b w:val="0"/>
                <w:i w:val="0"/>
                <w:color w:val="000000"/>
                <w:sz w:val="18"/>
              </w:rPr>
              <w:t>Cost tracking, margin analysis, invoicing management, client payment collection, and financial reporting on project profitability. Includes pricing and proposal development for new opportunities.</w:t>
            </w:r>
          </w:p>
        </w:tc>
      </w:tr>
      <w:tr>
        <w:tc>
          <w:tcPr>
            <w:tcW w:type="dxa" w:w="4703"/>
          </w:tcPr>
          <w:p>
            <w:r/>
            <w:r>
              <w:rPr>
                <w:rFonts w:ascii="Calibri" w:hAnsi="Calibri"/>
                <w:b w:val="0"/>
                <w:i w:val="0"/>
                <w:color w:val="000000"/>
                <w:sz w:val="18"/>
              </w:rPr>
              <w:t>Business Development</w:t>
            </w:r>
          </w:p>
        </w:tc>
        <w:tc>
          <w:tcPr>
            <w:tcW w:type="dxa" w:w="4703"/>
          </w:tcPr>
          <w:p>
            <w:r/>
            <w:r>
              <w:rPr>
                <w:rFonts w:ascii="Calibri" w:hAnsi="Calibri"/>
                <w:b w:val="0"/>
                <w:i w:val="0"/>
                <w:color w:val="000000"/>
                <w:sz w:val="18"/>
              </w:rPr>
              <w:t>Identification and pursuit of new BESS opportunities in Cyprus and other markets, client prospecting, market analysis, and pipeline development for Future Business.</w:t>
            </w:r>
          </w:p>
        </w:tc>
      </w:tr>
      <w:tr>
        <w:tc>
          <w:tcPr>
            <w:tcW w:type="dxa" w:w="4703"/>
          </w:tcPr>
          <w:p>
            <w:r/>
            <w:r>
              <w:rPr>
                <w:rFonts w:ascii="Calibri" w:hAnsi="Calibri"/>
                <w:b w:val="0"/>
                <w:i w:val="0"/>
                <w:color w:val="000000"/>
                <w:sz w:val="18"/>
              </w:rPr>
              <w:t>Insurance &amp; Risk Management</w:t>
            </w:r>
          </w:p>
        </w:tc>
        <w:tc>
          <w:tcPr>
            <w:tcW w:type="dxa" w:w="4703"/>
          </w:tcPr>
          <w:p>
            <w:r/>
            <w:r>
              <w:rPr>
                <w:rFonts w:ascii="Calibri" w:hAnsi="Calibri"/>
                <w:b w:val="0"/>
                <w:i w:val="0"/>
                <w:color w:val="000000"/>
                <w:sz w:val="18"/>
              </w:rPr>
              <w:t>Procurement and management of project insurance (CAR/EAR, professional indemnity, product liability), risk assessment, and warranty management for the portfolio.</w:t>
            </w:r>
          </w:p>
        </w:tc>
      </w:tr>
    </w:tbl>
    <w:p/>
    <w:p>
      <w:pPr>
        <w:sectPr>
          <w:footerReference w:type="default" r:id="rId14"/>
          <w:pgSz w:w="12240" w:h="15840"/>
          <w:pgMar w:top="1134" w:right="1417" w:bottom="1247" w:left="1417" w:header="720" w:footer="720" w:gutter="0"/>
          <w:cols w:space="720"/>
          <w:docGrid w:linePitch="360"/>
          <w:pgNumType w:start="1"/>
        </w:sectPr>
      </w:pPr>
    </w:p>
    <w:p/>
    <w:p>
      <w:r>
        <w:rPr>
          <w:rFonts w:ascii="Calibri" w:hAnsi="Calibri"/>
          <w:b/>
          <w:i w:val="0"/>
          <w:color w:val="C9A432"/>
          <w:sz w:val="24"/>
        </w:rPr>
        <w:t>EXECUTION</w:t>
      </w:r>
    </w:p>
    <w:p/>
    <w:p>
      <w:r>
        <w:rPr>
          <w:rFonts w:ascii="Calibri" w:hAnsi="Calibri"/>
          <w:b w:val="0"/>
          <w:i w:val="0"/>
          <w:color w:val="000000"/>
          <w:sz w:val="20"/>
        </w:rPr>
        <w:t>This Agreement has been executed as a Deed on the date first written above.</w:t>
      </w:r>
    </w:p>
    <w:p/>
    <w:p>
      <w:r>
        <w:rPr>
          <w:rFonts w:ascii="Calibri" w:hAnsi="Calibri"/>
          <w:b/>
          <w:i w:val="0"/>
          <w:color w:val="000000"/>
          <w:sz w:val="20"/>
        </w:rPr>
        <w:t>Signed for and on behalf of LIGHTHIEF CYPRUS LTD (HE 477423)</w:t>
      </w:r>
    </w:p>
    <w:p/>
    <w:p/>
    <w:p>
      <w:r>
        <w:rPr>
          <w:rFonts w:ascii="Calibri" w:hAnsi="Calibri"/>
          <w:b w:val="0"/>
          <w:i w:val="0"/>
          <w:color w:val="000000"/>
          <w:sz w:val="20"/>
        </w:rPr>
        <w:t>______________________________</w:t>
      </w:r>
    </w:p>
    <w:p>
      <w:r>
        <w:rPr>
          <w:rFonts w:ascii="Calibri" w:hAnsi="Calibri"/>
          <w:b w:val="0"/>
          <w:i w:val="0"/>
          <w:color w:val="000000"/>
          <w:sz w:val="20"/>
        </w:rPr>
        <w:t>Alexander Papacosta — Director</w:t>
      </w:r>
    </w:p>
    <w:p>
      <w:r>
        <w:rPr>
          <w:rFonts w:ascii="Calibri" w:hAnsi="Calibri"/>
          <w:b w:val="0"/>
          <w:i w:val="0"/>
          <w:color w:val="000000"/>
          <w:sz w:val="20"/>
        </w:rPr>
        <w:t>Date: ______________________</w:t>
      </w:r>
    </w:p>
    <w:p/>
    <w:p>
      <w:r>
        <w:rPr>
          <w:rFonts w:ascii="Calibri" w:hAnsi="Calibri"/>
          <w:b/>
          <w:i w:val="0"/>
          <w:color w:val="000000"/>
          <w:sz w:val="20"/>
        </w:rPr>
        <w:t>Signed for and on behalf of MOI OSTROV LTD (HE 319483)</w:t>
      </w:r>
    </w:p>
    <w:p/>
    <w:p/>
    <w:p>
      <w:r>
        <w:rPr>
          <w:rFonts w:ascii="Calibri" w:hAnsi="Calibri"/>
          <w:b w:val="0"/>
          <w:i w:val="0"/>
          <w:color w:val="000000"/>
          <w:sz w:val="20"/>
        </w:rPr>
        <w:t>______________________________</w:t>
      </w:r>
    </w:p>
    <w:p>
      <w:r>
        <w:rPr>
          <w:rFonts w:ascii="Calibri" w:hAnsi="Calibri"/>
          <w:b w:val="0"/>
          <w:i w:val="0"/>
          <w:color w:val="000000"/>
          <w:sz w:val="20"/>
        </w:rPr>
        <w:t>Alexander Papacosta — Director</w:t>
      </w:r>
    </w:p>
    <w:p>
      <w:r>
        <w:rPr>
          <w:rFonts w:ascii="Calibri" w:hAnsi="Calibri"/>
          <w:b w:val="0"/>
          <w:i w:val="0"/>
          <w:color w:val="000000"/>
          <w:sz w:val="20"/>
        </w:rPr>
        <w:t>Date: ______________________</w:t>
      </w:r>
    </w:p>
    <w:p/>
    <w:p>
      <w:r>
        <w:rPr>
          <w:rFonts w:ascii="Calibri" w:hAnsi="Calibri"/>
          <w:b/>
          <w:i w:val="0"/>
          <w:color w:val="000000"/>
          <w:sz w:val="20"/>
        </w:rPr>
        <w:t>Witness:</w:t>
      </w:r>
    </w:p>
    <w:p>
      <w:r>
        <w:rPr>
          <w:rFonts w:ascii="Calibri" w:hAnsi="Calibri"/>
          <w:b w:val="0"/>
          <w:i w:val="0"/>
          <w:color w:val="000000"/>
          <w:sz w:val="20"/>
        </w:rPr>
        <w:t>Name: ______________________</w:t>
      </w:r>
    </w:p>
    <w:p>
      <w:r>
        <w:rPr>
          <w:rFonts w:ascii="Calibri" w:hAnsi="Calibri"/>
          <w:b w:val="0"/>
          <w:i w:val="0"/>
          <w:color w:val="000000"/>
          <w:sz w:val="20"/>
        </w:rPr>
        <w:t>Address: ______________________</w:t>
      </w:r>
    </w:p>
    <w:p>
      <w:r>
        <w:rPr>
          <w:rFonts w:ascii="Calibri" w:hAnsi="Calibri"/>
          <w:b w:val="0"/>
          <w:i w:val="0"/>
          <w:color w:val="000000"/>
          <w:sz w:val="20"/>
        </w:rPr>
        <w:t>Date: ______________________</w:t>
      </w:r>
    </w:p>
    <w:p>
      <w:pPr>
        <w:sectPr>
          <w:footerReference w:type="default" r:id="rId15"/>
          <w:pgSz w:w="12240" w:h="15840"/>
          <w:pgMar w:top="1134" w:right="1417" w:bottom="1247" w:left="1417" w:header="720" w:footer="720" w:gutter="0"/>
          <w:cols w:space="720"/>
          <w:docGrid w:linePitch="360"/>
          <w:pgNumType w:start="1"/>
        </w:sectPr>
      </w:pPr>
    </w:p>
    <w:p>
      <w:r>
        <w:rPr>
          <w:rFonts w:ascii="Calibri" w:hAnsi="Calibri"/>
          <w:b w:val="0"/>
          <w:i w:val="0"/>
          <w:color w:val="000000"/>
          <w:sz w:val="20"/>
        </w:rPr>
        <w:t>═══ ANNEX A — SHAREHOLDER RESOLUTION ═══</w:t>
      </w:r>
    </w:p>
    <w:p>
      <w:pPr>
        <w:spacing w:before="200"/>
      </w:pPr>
      <w:r>
        <w:rPr>
          <w:rFonts w:ascii="Calibri" w:hAnsi="Calibri"/>
          <w:b/>
          <w:i w:val="0"/>
          <w:color w:val="1A365D"/>
          <w:sz w:val="22"/>
        </w:rPr>
        <w:t>Annex A — Written Resolution of the Sole Shareholder</w:t>
      </w:r>
    </w:p>
    <w:p>
      <w:pPr>
        <w:jc w:val="both"/>
      </w:pPr>
      <w:r>
        <w:rPr>
          <w:rFonts w:ascii="Calibri" w:hAnsi="Calibri"/>
          <w:b w:val="0"/>
          <w:i w:val="0"/>
          <w:color w:val="000000"/>
          <w:sz w:val="20"/>
        </w:rPr>
        <w:t>of Lighthief Cyprus Ltd (Company No. HE 477423)</w:t>
      </w:r>
    </w:p>
    <w:p>
      <w:pPr>
        <w:jc w:val="both"/>
      </w:pPr>
      <w:r>
        <w:rPr>
          <w:rFonts w:ascii="Calibri" w:hAnsi="Calibri"/>
          <w:b w:val="0"/>
          <w:i w:val="0"/>
          <w:color w:val="000000"/>
          <w:sz w:val="20"/>
        </w:rPr>
        <w:t>Passed in accordance with Section 135 of the Cyprus Companies Law, Cap. 113</w:t>
      </w:r>
    </w:p>
    <w:p>
      <w:pPr>
        <w:jc w:val="both"/>
      </w:pPr>
      <w:r>
        <w:rPr>
          <w:rFonts w:ascii="Calibri" w:hAnsi="Calibri"/>
          <w:b w:val="0"/>
          <w:i w:val="0"/>
          <w:color w:val="000000"/>
          <w:sz w:val="20"/>
        </w:rPr>
        <w:br/>
        <w:t>Date: ______________________ 2026</w:t>
        <w:br/>
        <w:t xml:space="preserve">  </w:t>
      </w:r>
    </w:p>
    <w:p>
      <w:pPr>
        <w:jc w:val="both"/>
      </w:pPr>
      <w:r>
        <w:rPr>
          <w:rFonts w:ascii="Calibri" w:hAnsi="Calibri"/>
          <w:b w:val="0"/>
          <w:i w:val="0"/>
          <w:color w:val="000000"/>
          <w:sz w:val="20"/>
        </w:rPr>
        <w:t>THE SOLE SHAREHOLDER of Lighthief Cyprus Ltd (the "Company"), being: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pPr>
              <w:jc w:val="left"/>
            </w:pPr>
            <w:r>
              <w:rPr>
                <w:b/>
                <w:color w:val="FFFFFF"/>
              </w:rPr>
            </w:r>
            <w:r>
              <w:rPr>
                <w:rFonts w:ascii="Calibri" w:hAnsi="Calibri"/>
                <w:b/>
                <w:i w:val="0"/>
                <w:color w:val="FFFFFF"/>
                <w:sz w:val="18"/>
              </w:rPr>
              <w:t>Shareholder</w:t>
            </w:r>
          </w:p>
        </w:tc>
        <w:tc>
          <w:tcPr>
            <w:tcW w:type="dxa" w:w="2351"/>
            <w:shd w:fill="1A365D" w:val="clear"/>
          </w:tcPr>
          <w:p>
            <w:pPr>
              <w:jc w:val="left"/>
            </w:pPr>
            <w:r>
              <w:rPr>
                <w:b/>
                <w:color w:val="FFFFFF"/>
              </w:rPr>
            </w:r>
            <w:r>
              <w:rPr>
                <w:rFonts w:ascii="Calibri" w:hAnsi="Calibri"/>
                <w:b/>
                <w:i w:val="0"/>
                <w:color w:val="FFFFFF"/>
                <w:sz w:val="18"/>
              </w:rPr>
              <w:t>Shares Held</w:t>
            </w:r>
          </w:p>
        </w:tc>
        <w:tc>
          <w:tcPr>
            <w:tcW w:type="dxa" w:w="2351"/>
            <w:shd w:fill="1A365D" w:val="clear"/>
          </w:tcPr>
          <w:p>
            <w:pPr>
              <w:jc w:val="left"/>
            </w:pPr>
            <w:r>
              <w:rPr>
                <w:b/>
                <w:color w:val="FFFFFF"/>
              </w:rPr>
            </w:r>
            <w:r>
              <w:rPr>
                <w:rFonts w:ascii="Calibri" w:hAnsi="Calibri"/>
                <w:b/>
                <w:i w:val="0"/>
                <w:color w:val="FFFFFF"/>
                <w:sz w:val="18"/>
              </w:rPr>
              <w:t>% Holding</w:t>
            </w:r>
          </w:p>
        </w:tc>
        <w:tc>
          <w:tcPr>
            <w:tcW w:type="dxa" w:w="2351"/>
            <w:shd w:fill="1A365D" w:val="clear"/>
          </w:tcPr>
          <w:p>
            <w:pPr>
              <w:jc w:val="left"/>
            </w:pPr>
            <w:r>
              <w:rPr>
                <w:b/>
                <w:color w:val="FFFFFF"/>
              </w:rPr>
            </w:r>
            <w:r>
              <w:rPr>
                <w:rFonts w:ascii="Calibri" w:hAnsi="Calibri"/>
                <w:b/>
                <w:i w:val="0"/>
                <w:color w:val="FFFFFF"/>
                <w:sz w:val="18"/>
              </w:rPr>
              <w:t>UBO</w:t>
            </w:r>
          </w:p>
        </w:tc>
      </w:tr>
      <w:tr>
        <w:tc>
          <w:tcPr>
            <w:tcW w:type="dxa" w:w="2351"/>
          </w:tcPr>
          <w:p>
            <w:r/>
            <w:r>
              <w:rPr>
                <w:rFonts w:ascii="Calibri" w:hAnsi="Calibri"/>
                <w:b w:val="0"/>
                <w:i w:val="0"/>
                <w:color w:val="000000"/>
                <w:sz w:val="18"/>
              </w:rPr>
              <w:t>Lighthief International Ltd</w:t>
            </w:r>
          </w:p>
        </w:tc>
        <w:tc>
          <w:tcPr>
            <w:tcW w:type="dxa" w:w="2351"/>
          </w:tcPr>
          <w:p>
            <w:r/>
            <w:r>
              <w:rPr>
                <w:rFonts w:ascii="Calibri" w:hAnsi="Calibri"/>
                <w:b w:val="0"/>
                <w:i w:val="0"/>
                <w:color w:val="000000"/>
                <w:sz w:val="18"/>
              </w:rPr>
              <w:t>100% of issued share capital</w:t>
            </w:r>
          </w:p>
        </w:tc>
        <w:tc>
          <w:tcPr>
            <w:tcW w:type="dxa" w:w="2351"/>
          </w:tcPr>
          <w:p>
            <w:pPr>
              <w:jc w:val="right"/>
            </w:pPr>
            <w:r/>
            <w:r>
              <w:rPr>
                <w:rFonts w:ascii="Calibri" w:hAnsi="Calibri"/>
                <w:b w:val="0"/>
                <w:i w:val="0"/>
                <w:color w:val="000000"/>
                <w:sz w:val="18"/>
              </w:rPr>
              <w:t>100%</w:t>
            </w:r>
          </w:p>
        </w:tc>
        <w:tc>
          <w:tcPr>
            <w:tcW w:type="dxa" w:w="2351"/>
          </w:tcPr>
          <w:p>
            <w:r/>
            <w:r>
              <w:rPr>
                <w:rFonts w:ascii="Calibri" w:hAnsi="Calibri"/>
                <w:b w:val="0"/>
                <w:i w:val="0"/>
                <w:color w:val="000000"/>
                <w:sz w:val="18"/>
              </w:rPr>
              <w:t>Dr. Arkadiusz Sybaris</w:t>
            </w:r>
          </w:p>
        </w:tc>
      </w:tr>
    </w:tbl>
    <w:p/>
    <w:p>
      <w:pPr>
        <w:jc w:val="both"/>
      </w:pPr>
      <w:r>
        <w:rPr>
          <w:rFonts w:ascii="Calibri" w:hAnsi="Calibri"/>
          <w:b w:val="0"/>
          <w:i w:val="0"/>
          <w:color w:val="000000"/>
          <w:sz w:val="20"/>
        </w:rPr>
        <w:t>HEREBY RESOLVES as follows:</w:t>
      </w:r>
    </w:p>
    <w:p>
      <w:pPr>
        <w:jc w:val="both"/>
      </w:pPr>
      <w:r>
        <w:rPr>
          <w:rFonts w:ascii="Calibri" w:hAnsi="Calibri"/>
          <w:b w:val="0"/>
          <w:i w:val="0"/>
          <w:color w:val="000000"/>
          <w:sz w:val="20"/>
        </w:rPr>
        <w:t>1. Approval of Consultancy Agreement: The Team Operational Consultancy Agreement dated ______________________ 2026 between the Company and Moi Ostrov Ltd (Company No. HE 319483), reference LCY-MOI-TOCA-2026-001 (the "Consultancy Agreement"), is hereby approved and ratified in its entirety, including both Part A (Origination Fee) and Part B (Team Operations Fee).</w:t>
      </w:r>
    </w:p>
    <w:p>
      <w:pPr>
        <w:jc w:val="both"/>
      </w:pPr>
      <w:r>
        <w:rPr>
          <w:rFonts w:ascii="Calibri" w:hAnsi="Calibri"/>
          <w:b w:val="0"/>
          <w:i w:val="0"/>
          <w:color w:val="000000"/>
          <w:sz w:val="20"/>
        </w:rPr>
        <w:t>2. Term and Protected Matter: The Shareholder acknowledges that the Consultancy Agreement has a Minimum Term of five (5) years and may be terminated or amended only as set out in Clause 5.3 of the Consultancy Agreement (including material-breach termination, twelve (12) months' notice after the Minimum Term, and amendment requiring consent of shareholders holding at least seventy-five percent (75%) of voting shares, or unanimous consent if fewer than three shareholders). The Shareholder resolves that the Consultancy Agreement shall be designated a "Protected Matter" in the Articles on those terms. Nothing in this Resolution limits statutory rights under the Companies Law, Cap. 113.</w:t>
      </w:r>
    </w:p>
    <w:p>
      <w:pPr>
        <w:jc w:val="both"/>
      </w:pPr>
      <w:r>
        <w:rPr>
          <w:rFonts w:ascii="Calibri" w:hAnsi="Calibri"/>
          <w:b w:val="0"/>
          <w:i w:val="0"/>
          <w:color w:val="000000"/>
          <w:sz w:val="20"/>
        </w:rPr>
        <w:t>3. Articles amendment: The Shareholder instructs the Director to amend the Company's Articles of Association to reflect the Protected Matter status and the provisions described in Clause 6.8 of the Consultancy Agreement (including the deed of acknowledgement requirement for new shareholders).</w:t>
      </w:r>
    </w:p>
    <w:p>
      <w:pPr>
        <w:jc w:val="both"/>
      </w:pPr>
      <w:r>
        <w:rPr>
          <w:rFonts w:ascii="Calibri" w:hAnsi="Calibri"/>
          <w:b w:val="0"/>
          <w:i w:val="0"/>
          <w:color w:val="000000"/>
          <w:sz w:val="20"/>
        </w:rPr>
        <w:t>4. Binding on Successors: The Shareholder agrees that the obligations of the Company under the Consultancy Agreement shall be binding on any future shareholder, transferee, acquirer, or successor of the Company's shares or business. The Shareholder shall procure that any transferee of its shares in the Company executes the deed of acknowledgement required by Clause 6.3 of the Consultancy Agreement as a condition of such transfer.</w:t>
      </w:r>
    </w:p>
    <w:p>
      <w:pPr>
        <w:jc w:val="both"/>
      </w:pPr>
      <w:r>
        <w:rPr>
          <w:rFonts w:ascii="Calibri" w:hAnsi="Calibri"/>
          <w:b w:val="0"/>
          <w:i w:val="0"/>
          <w:color w:val="000000"/>
          <w:sz w:val="20"/>
        </w:rPr>
        <w:t>5. Conflict of Interest Waiver: The Shareholder acknowledges the dual directorship of Alexander Papacosta (Cyprus ID: 1241318) as director of both the Company and Moi Ostrov Ltd, has considered the potential conflict of interest, and waives any objection to such conflict. The Shareholder confirms that the Consultancy Agreement is in the commercial interests of the Company given that: (a) the entire BESS project pipeline was originated and secured through Alexander Papacosta's business development activities; and (b) the Team Operations Fee provides the Company with essential operational services at a rate consistent with market norms for outsourced EPC project management.</w:t>
      </w:r>
    </w:p>
    <w:p>
      <w:pPr>
        <w:jc w:val="both"/>
      </w:pPr>
      <w:r>
        <w:rPr>
          <w:rFonts w:ascii="Calibri" w:hAnsi="Calibri"/>
          <w:b w:val="0"/>
          <w:i w:val="0"/>
          <w:color w:val="000000"/>
          <w:sz w:val="20"/>
        </w:rPr>
        <w:t>6. Protection of fees: The Shareholder undertakes that it shall not, and shall procure that the Company shall not, during the Minimum Term:</w:t>
      </w:r>
    </w:p>
    <w:p>
      <w:pPr>
        <w:jc w:val="both"/>
      </w:pPr>
      <w:r>
        <w:rPr>
          <w:rFonts w:ascii="Calibri" w:hAnsi="Calibri"/>
          <w:b w:val="0"/>
          <w:i w:val="0"/>
          <w:color w:val="000000"/>
          <w:sz w:val="20"/>
        </w:rPr>
        <w:t>(a) take any action that would terminate or vary the Consultancy Agreement otherwise than in accordance with Clause 5.3;</w:t>
      </w:r>
    </w:p>
    <w:p>
      <w:pPr>
        <w:jc w:val="both"/>
      </w:pPr>
      <w:r>
        <w:rPr>
          <w:rFonts w:ascii="Calibri" w:hAnsi="Calibri"/>
          <w:b w:val="0"/>
          <w:i w:val="0"/>
          <w:color w:val="000000"/>
          <w:sz w:val="20"/>
        </w:rPr>
        <w:t>(b) remove, interfere with, or diminish the Consultant's entitlement to fees properly accrued under the Consultancy Agreement;</w:t>
      </w:r>
    </w:p>
    <w:p>
      <w:pPr>
        <w:jc w:val="both"/>
      </w:pPr>
      <w:r>
        <w:rPr>
          <w:rFonts w:ascii="Calibri" w:hAnsi="Calibri"/>
          <w:b w:val="0"/>
          <w:i w:val="0"/>
          <w:color w:val="000000"/>
          <w:sz w:val="20"/>
        </w:rPr>
        <w:t>(c) declare discretionary dividends or make discretionary shareholder distributions attributable to revenue in respect of which a corresponding fee has accrued but remains unpaid, consistent with Clause 6.5;</w:t>
      </w:r>
    </w:p>
    <w:p>
      <w:pPr>
        <w:jc w:val="both"/>
      </w:pPr>
      <w:r>
        <w:rPr>
          <w:rFonts w:ascii="Calibri" w:hAnsi="Calibri"/>
          <w:b w:val="0"/>
          <w:i w:val="0"/>
          <w:color w:val="000000"/>
          <w:sz w:val="20"/>
        </w:rPr>
        <w:t>(d) dispose of the Company's assets or business in a manner that would frustrate payment of fees properly accrued under signed client contracts.</w:t>
      </w:r>
    </w:p>
    <w:p>
      <w:pPr>
        <w:jc w:val="both"/>
      </w:pPr>
      <w:r>
        <w:rPr>
          <w:rFonts w:ascii="Calibri" w:hAnsi="Calibri"/>
          <w:b w:val="0"/>
          <w:i w:val="0"/>
          <w:color w:val="000000"/>
          <w:sz w:val="20"/>
        </w:rPr>
        <w:t>7. Director Authorisation: Alexander Papacosta (Cyprus ID: 1241318) is hereby authorised to execute the Consultancy Agreement on behalf of the Company, notwithstanding his interest as director of Moi Ostrov Ltd.</w:t>
      </w:r>
    </w:p>
    <w:p>
      <w:pPr>
        <w:jc w:val="both"/>
      </w:pPr>
      <w:r>
        <w:rPr>
          <w:rFonts w:ascii="Calibri" w:hAnsi="Calibri"/>
          <w:b w:val="0"/>
          <w:i w:val="0"/>
          <w:color w:val="000000"/>
          <w:sz w:val="20"/>
        </w:rPr>
        <w:t>8. Filing: The Company Secretary is instructed to file a copy of this Resolution with the Company's statutory records and to note the Consultancy Agreement as a material obligation in the Company's books.</w:t>
      </w:r>
    </w:p>
    <w:p/>
    <w:p>
      <w:pPr>
        <w:jc w:val="both"/>
      </w:pPr>
      <w:r>
        <w:rPr>
          <w:rFonts w:ascii="Calibri" w:hAnsi="Calibri"/>
          <w:b w:val="0"/>
          <w:i w:val="0"/>
          <w:color w:val="000000"/>
          <w:sz w:val="20"/>
        </w:rPr>
        <w:t>Signed for and on behalf of the Sole Shareholder:</w:t>
      </w:r>
    </w:p>
    <w:p>
      <w:pPr>
        <w:jc w:val="both"/>
      </w:pPr>
      <w:r>
        <w:rPr>
          <w:rFonts w:ascii="Calibri" w:hAnsi="Calibri"/>
          <w:b w:val="0"/>
          <w:i w:val="0"/>
          <w:color w:val="000000"/>
          <w:sz w:val="20"/>
        </w:rPr>
        <w:br/>
        <w:t xml:space="preserve">      For and on behalf of</w:t>
        <w:br/>
        <w:t>LIGHTHIEF INTERNATIONAL LTD</w:t>
        <w:br/>
        <w:t>(Sole Shareholder of Lighthief Cyprus Ltd)</w:t>
        <w:br/>
        <w:t xml:space="preserve">    </w:t>
      </w:r>
    </w:p>
    <w:p>
      <w:pPr>
        <w:jc w:val="both"/>
      </w:pPr>
      <w:r>
        <w:rPr>
          <w:rFonts w:ascii="Calibri" w:hAnsi="Calibri"/>
          <w:b w:val="0"/>
          <w:i w:val="0"/>
          <w:color w:val="000000"/>
          <w:sz w:val="20"/>
        </w:rPr>
        <w:t>Authorised signatory:</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 Lighthief International Ltd</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br/>
        <w:t>UBO Declaration: The ultimate beneficial owner of Lighthief International Ltd is Dr. Arkadiusz Sybaris.</w:t>
        <w:br/>
        <w:t xml:space="preserve">  </w:t>
      </w:r>
    </w:p>
    <w:p>
      <w:pPr>
        <w:sectPr>
          <w:footerReference w:type="default" r:id="rId16"/>
          <w:pgSz w:w="12240" w:h="15840"/>
          <w:pgMar w:top="1134" w:right="1417" w:bottom="1247" w:left="1417" w:header="720" w:footer="720" w:gutter="0"/>
          <w:cols w:space="720"/>
          <w:docGrid w:linePitch="360"/>
          <w:pgNumType w:start="1"/>
        </w:sectPr>
      </w:pPr>
    </w:p>
    <w:p>
      <w:r>
        <w:rPr>
          <w:rFonts w:ascii="Calibri" w:hAnsi="Calibri"/>
          <w:b w:val="0"/>
          <w:i w:val="0"/>
          <w:color w:val="000000"/>
          <w:sz w:val="20"/>
        </w:rPr>
        <w:t>═══ ANNEX B — UBO PERSONAL UNDERTAKING ═══</w:t>
      </w:r>
    </w:p>
    <w:p>
      <w:pPr>
        <w:spacing w:before="200"/>
      </w:pPr>
      <w:r>
        <w:rPr>
          <w:rFonts w:ascii="Calibri" w:hAnsi="Calibri"/>
          <w:b/>
          <w:i w:val="0"/>
          <w:color w:val="1A365D"/>
          <w:sz w:val="22"/>
        </w:rPr>
        <w:t>Annex B — Personal Undertaking of the Ultimate Beneficial Owner</w:t>
      </w:r>
    </w:p>
    <w:p>
      <w:pPr>
        <w:jc w:val="both"/>
      </w:pPr>
      <w:r>
        <w:rPr>
          <w:rFonts w:ascii="Calibri" w:hAnsi="Calibri"/>
          <w:b w:val="0"/>
          <w:i w:val="0"/>
          <w:color w:val="000000"/>
          <w:sz w:val="20"/>
        </w:rPr>
        <w:br/>
        <w:t>Date: ______________________ 2026</w:t>
        <w:br/>
        <w:t xml:space="preserve">  </w:t>
      </w:r>
    </w:p>
    <w:p>
      <w:pPr>
        <w:jc w:val="both"/>
      </w:pPr>
      <w:r>
        <w:rPr>
          <w:rFonts w:ascii="Calibri" w:hAnsi="Calibri"/>
          <w:b w:val="0"/>
          <w:i w:val="0"/>
          <w:color w:val="000000"/>
          <w:sz w:val="20"/>
        </w:rPr>
        <w:t>I, Dr. Arkadiusz Sybaris, being the ultimate beneficial owner of Lighthief International Ltd (which is the sole shareholder of Lighthief Cyprus Ltd, Company No. HE 477423), hereby provide this personal undertaking in connection with the Team Operational Consultancy Agreement dated ______________________ 2026, reference LCY-MOI-TOCA-2026-001, between Lighthief Cyprus Ltd and Moi Ostrov Ltd (the "Consultancy Agreement").</w:t>
      </w:r>
    </w:p>
    <w:p>
      <w:pPr>
        <w:jc w:val="both"/>
      </w:pPr>
      <w:r>
        <w:rPr>
          <w:rFonts w:ascii="Calibri" w:hAnsi="Calibri"/>
          <w:b w:val="0"/>
          <w:i w:val="0"/>
          <w:color w:val="000000"/>
          <w:sz w:val="20"/>
        </w:rPr>
        <w:t>I HEREBY UNDERTAKE AND AGREE as follows:</w:t>
      </w:r>
    </w:p>
    <w:p>
      <w:pPr>
        <w:jc w:val="both"/>
      </w:pPr>
      <w:r>
        <w:rPr>
          <w:rFonts w:ascii="Calibri" w:hAnsi="Calibri"/>
          <w:b w:val="0"/>
          <w:i w:val="0"/>
          <w:color w:val="000000"/>
          <w:sz w:val="20"/>
        </w:rPr>
        <w:t>1. Support during Minimum Term: During the Minimum Term, I shall exercise voting rights available to me (whether directly or through Lighthief International Ltd) in support of the Consultancy Agreement and against proposals that would modify, reduce, or terminate it otherwise than in accordance with Clause 5.3, subject always to my statutory duties and rights under Cap. 113.</w:t>
      </w:r>
    </w:p>
    <w:p>
      <w:pPr>
        <w:jc w:val="both"/>
      </w:pPr>
      <w:r>
        <w:rPr>
          <w:rFonts w:ascii="Calibri" w:hAnsi="Calibri"/>
          <w:b w:val="0"/>
          <w:i w:val="0"/>
          <w:color w:val="000000"/>
          <w:sz w:val="20"/>
        </w:rPr>
        <w:t>2. Non-Interference: I shall not, directly or indirectly, take any action or instruct any person to take any action that would: (a) impair payment of Origination Fees or Team Operations Fees properly accrued; (b) cause Lighthief Cyprus Ltd to breach payment obligations under the Consultancy Agreement; or (c) facilitate circumvention of Cyprus Protected Projects as described in Clause 12.</w:t>
      </w:r>
    </w:p>
    <w:p>
      <w:pPr>
        <w:jc w:val="both"/>
      </w:pPr>
      <w:r>
        <w:rPr>
          <w:rFonts w:ascii="Calibri" w:hAnsi="Calibri"/>
          <w:b w:val="0"/>
          <w:i w:val="0"/>
          <w:color w:val="000000"/>
          <w:sz w:val="20"/>
        </w:rPr>
        <w:t>3. Condition on Share Transfer: If I (or Lighthief International Ltd) transfer, sell, or dispose of any shares in Lighthief Cyprus Ltd, I shall ensure that the transferee: (a) receives a copy of the Consultancy Agreement; (b) executes the deed of acknowledgement required by Clause 6.3 of the Consultancy Agreement; and (c) provides a personal undertaking in substantially similar terms to this undertaking.</w:t>
      </w:r>
    </w:p>
    <w:p>
      <w:pPr>
        <w:jc w:val="both"/>
      </w:pPr>
      <w:r>
        <w:rPr>
          <w:rFonts w:ascii="Calibri" w:hAnsi="Calibri"/>
          <w:b w:val="0"/>
          <w:i w:val="0"/>
          <w:color w:val="000000"/>
          <w:sz w:val="20"/>
        </w:rPr>
        <w:t>4. Deemed Group Receipt: I shall procure that fees calculated on Deemed Group Receipts under Clause 12.3 are paid by the Company and shall use reasonable endeavours to ensure Group entities execute a deed of adherence (see Schedule 4 / separate form) before contracting Cyprus Protected Projects.</w:t>
      </w:r>
    </w:p>
    <w:p>
      <w:pPr>
        <w:jc w:val="both"/>
      </w:pPr>
      <w:r>
        <w:rPr>
          <w:rFonts w:ascii="Calibri" w:hAnsi="Calibri"/>
          <w:b w:val="0"/>
          <w:i w:val="0"/>
          <w:color w:val="000000"/>
          <w:sz w:val="20"/>
        </w:rPr>
        <w:t>5. Personal Liability: I acknowledge that this undertaking creates a personal obligation binding upon me individually, enforceable by Moi Ostrov Ltd directly against me, in addition to any rights Moi Ostrov Ltd may have against Lighthief Cyprus Ltd or Lighthief International Ltd under the Consultancy Agreement.</w:t>
      </w:r>
    </w:p>
    <w:p>
      <w:pPr>
        <w:jc w:val="both"/>
      </w:pPr>
      <w:r>
        <w:rPr>
          <w:rFonts w:ascii="Calibri" w:hAnsi="Calibri"/>
          <w:b w:val="0"/>
          <w:i w:val="0"/>
          <w:color w:val="000000"/>
          <w:sz w:val="20"/>
        </w:rPr>
        <w:t>6. Governing Law: This undertaking shall be governed by the laws of the Republic of Cyprus and subject to the dispute resolution provisions of the Consultancy Agreement.</w:t>
      </w:r>
    </w:p>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Lighthief International Ltd</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br/>
        <w:t>Witness:</w:t>
        <w:br/>
      </w:r>
    </w:p>
    <w:p>
      <w:pPr>
        <w:jc w:val="both"/>
      </w:pPr>
      <w:r>
        <w:rPr>
          <w:rFonts w:ascii="Calibri" w:hAnsi="Calibri"/>
          <w:b w:val="0"/>
          <w:i w:val="0"/>
          <w:color w:val="000000"/>
          <w:sz w:val="20"/>
        </w:rPr>
        <w:t>Name: ______________________</w:t>
      </w:r>
    </w:p>
    <w:p>
      <w:pPr>
        <w:jc w:val="both"/>
      </w:pPr>
      <w:r>
        <w:rPr>
          <w:rFonts w:ascii="Calibri" w:hAnsi="Calibri"/>
          <w:b w:val="0"/>
          <w:i w:val="0"/>
          <w:color w:val="000000"/>
          <w:sz w:val="20"/>
        </w:rPr>
        <w:t>Address: ______________________</w:t>
      </w:r>
    </w:p>
    <w:p>
      <w:pPr>
        <w:jc w:val="both"/>
      </w:pPr>
      <w:r>
        <w:rPr>
          <w:rFonts w:ascii="Calibri" w:hAnsi="Calibri"/>
          <w:b w:val="0"/>
          <w:i w:val="0"/>
          <w:color w:val="000000"/>
          <w:sz w:val="20"/>
        </w:rPr>
        <w:t>Date: ______________________</w:t>
      </w:r>
    </w:p>
    <w:p>
      <w:pPr>
        <w:sectPr>
          <w:footerReference w:type="default" r:id="rId17"/>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CONTRACT OF EMPLOYMENT — MANAGING DIRECTOR</w:t>
      </w:r>
    </w:p>
    <w:p/>
    <w:p>
      <w:pPr>
        <w:jc w:val="both"/>
      </w:pPr>
      <w:r>
        <w:rPr>
          <w:rFonts w:ascii="Calibri" w:hAnsi="Calibri"/>
          <w:b w:val="0"/>
          <w:i w:val="0"/>
          <w:color w:val="000000"/>
          <w:sz w:val="20"/>
        </w:rPr>
        <w:t>Status: TEMPLATE — Cyprus legal and payroll review required before signature</w:t>
      </w:r>
    </w:p>
    <w:p>
      <w:pPr>
        <w:jc w:val="both"/>
      </w:pPr>
      <w:r>
        <w:rPr>
          <w:rFonts w:ascii="Calibri" w:hAnsi="Calibri"/>
          <w:b w:val="0"/>
          <w:i w:val="0"/>
          <w:color w:val="000000"/>
          <w:sz w:val="20"/>
        </w:rPr>
        <w:t>Ref: LCY-EMP-AP-2026-001</w:t>
      </w:r>
    </w:p>
    <w:p>
      <w:pPr>
        <w:jc w:val="both"/>
      </w:pPr>
      <w:r>
        <w:rPr>
          <w:rFonts w:ascii="Calibri" w:hAnsi="Calibri"/>
          <w:b w:val="0"/>
          <w:i w:val="0"/>
          <w:color w:val="000000"/>
          <w:sz w:val="20"/>
        </w:rPr>
        <w:t>Parties: Lighthief Cyprus Ltd (“Employer” / “Company”) · Alexander Papacosta (“Employee”)</w:t>
      </w:r>
    </w:p>
    <w:p>
      <w:pPr>
        <w:jc w:val="both"/>
      </w:pPr>
      <w:r>
        <w:rPr>
          <w:rFonts w:ascii="Calibri" w:hAnsi="Calibri"/>
          <w:b w:val="0"/>
          <w:i w:val="0"/>
          <w:color w:val="000000"/>
          <w:sz w:val="20"/>
        </w:rPr>
        <w:t>Governing law: Republic of Cyprus · Termination Employment of Staff Law 24/1967 (as amended) and applicable regulations.</w:t>
      </w:r>
    </w:p>
    <w:p>
      <w:pPr>
        <w:spacing w:before="240"/>
      </w:pPr>
      <w:r>
        <w:rPr>
          <w:rFonts w:ascii="Calibri" w:hAnsi="Calibri"/>
          <w:b/>
          <w:i w:val="0"/>
          <w:color w:val="C9A432"/>
          <w:sz w:val="24"/>
        </w:rPr>
        <w:t>Recitals</w:t>
      </w:r>
    </w:p>
    <w:p>
      <w:pPr>
        <w:jc w:val="both"/>
      </w:pPr>
      <w:r>
        <w:rPr>
          <w:rFonts w:ascii="Calibri" w:hAnsi="Calibri"/>
          <w:b w:val="0"/>
          <w:i w:val="0"/>
          <w:color w:val="000000"/>
          <w:sz w:val="20"/>
        </w:rPr>
        <w:t>WHEREAS:</w:t>
      </w:r>
    </w:p>
    <w:p>
      <w:pPr>
        <w:jc w:val="both"/>
      </w:pPr>
      <w:r>
        <w:rPr>
          <w:rFonts w:ascii="Calibri" w:hAnsi="Calibri"/>
          <w:b w:val="0"/>
          <w:i w:val="0"/>
          <w:color w:val="000000"/>
          <w:sz w:val="20"/>
        </w:rPr>
        <w:t>(a) The Employee has served as Managing Director of the Company since [___] and has performed full-time executive duties including pipeline origination, client management, EPC delivery oversight, and team leadership;</w:t>
      </w:r>
    </w:p>
    <w:p>
      <w:pPr>
        <w:jc w:val="both"/>
      </w:pPr>
      <w:r>
        <w:rPr>
          <w:rFonts w:ascii="Calibri" w:hAnsi="Calibri"/>
          <w:b w:val="0"/>
          <w:i w:val="0"/>
          <w:color w:val="000000"/>
          <w:sz w:val="20"/>
        </w:rPr>
        <w:t>(b) The Parties acknowledge that, from 1 July 2025 until the date of this Agreement, the Company paid the Employee €2,000 net per month as managing director remuneration, pending formalisation of written employment terms;</w:t>
      </w:r>
    </w:p>
    <w:p>
      <w:pPr>
        <w:jc w:val="both"/>
      </w:pPr>
      <w:r>
        <w:rPr>
          <w:rFonts w:ascii="Calibri" w:hAnsi="Calibri"/>
          <w:b w:val="0"/>
          <w:i w:val="0"/>
          <w:color w:val="000000"/>
          <w:sz w:val="20"/>
        </w:rPr>
        <w:t>(c) The Shareholder (Lighthief International Ltd) has approved this Agreement and ratified prior payments by written resolution dated [___] (Annex B);</w:t>
      </w:r>
    </w:p>
    <w:p>
      <w:pPr>
        <w:jc w:val="both"/>
      </w:pPr>
      <w:r>
        <w:rPr>
          <w:rFonts w:ascii="Calibri" w:hAnsi="Calibri"/>
          <w:b w:val="0"/>
          <w:i w:val="0"/>
          <w:color w:val="000000"/>
          <w:sz w:val="20"/>
        </w:rPr>
        <w:t>(d) The Parties wish to formalise employment terms separately from the Business Introducer / Consultancy Agreement between the Company and Moi Ostrov Ltd (ref LCY-MOI-TOCA-2026-001) and separately from any equity participation side letter between the Employee and the Founder;</w:t>
      </w:r>
    </w:p>
    <w:p>
      <w:pPr>
        <w:jc w:val="both"/>
      </w:pPr>
      <w:r>
        <w:rPr>
          <w:rFonts w:ascii="Calibri" w:hAnsi="Calibri"/>
          <w:b w:val="0"/>
          <w:i w:val="0"/>
          <w:color w:val="000000"/>
          <w:sz w:val="20"/>
        </w:rPr>
        <w:t>(e) Salary under this Agreement is exclusive of any introducer fee, commission, or equity participation payable to Moi Ostrov Ltd or the Employee under other instruments.</w:t>
      </w:r>
    </w:p>
    <w:p>
      <w:pPr>
        <w:spacing w:before="240"/>
      </w:pPr>
      <w:r>
        <w:rPr>
          <w:rFonts w:ascii="Calibri" w:hAnsi="Calibri"/>
          <w:b/>
          <w:i w:val="0"/>
          <w:color w:val="C9A432"/>
          <w:sz w:val="24"/>
        </w:rPr>
        <w:t>1. Appointment</w:t>
      </w:r>
    </w:p>
    <w:p>
      <w:pPr>
        <w:jc w:val="both"/>
      </w:pPr>
      <w:r>
        <w:rPr>
          <w:rFonts w:ascii="Calibri" w:hAnsi="Calibri"/>
          <w:b w:val="0"/>
          <w:i w:val="0"/>
          <w:color w:val="000000"/>
          <w:sz w:val="20"/>
        </w:rPr>
        <w:t>1.1 The Company employs the Employee as Managing Director with effect from 1 July 2025 (the “Commencement Date”).</w:t>
      </w:r>
    </w:p>
    <w:p>
      <w:pPr>
        <w:jc w:val="both"/>
      </w:pPr>
      <w:r>
        <w:rPr>
          <w:rFonts w:ascii="Calibri" w:hAnsi="Calibri"/>
          <w:b w:val="0"/>
          <w:i w:val="0"/>
          <w:color w:val="000000"/>
          <w:sz w:val="20"/>
        </w:rPr>
        <w:t>1.2 The Employee reports to the Board. Day-to-day duties include executive leadership of the Company’s Cyprus BESS EPC business, client relationships, project delivery oversight, team management, and such other duties as the Board may reasonably assign consistent with the role of Managing Director.</w:t>
      </w:r>
    </w:p>
    <w:p>
      <w:pPr>
        <w:spacing w:before="240"/>
      </w:pPr>
      <w:r>
        <w:rPr>
          <w:rFonts w:ascii="Calibri" w:hAnsi="Calibri"/>
          <w:b/>
          <w:i w:val="0"/>
          <w:color w:val="C9A432"/>
          <w:sz w:val="24"/>
        </w:rPr>
        <w:t>2. Remuneration</w:t>
      </w:r>
    </w:p>
    <w:p>
      <w:pPr>
        <w:jc w:val="both"/>
      </w:pPr>
      <w:r>
        <w:rPr>
          <w:rFonts w:ascii="Calibri" w:hAnsi="Calibri"/>
          <w:b/>
          <w:i w:val="0"/>
          <w:color w:val="000000"/>
          <w:sz w:val="20"/>
        </w:rPr>
        <w:t>2.1 Pre-EPC period (1 July 2025 — day before Galascope EPC Effective Date):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Item</w:t>
            </w:r>
          </w:p>
        </w:tc>
        <w:tc>
          <w:tcPr>
            <w:tcW w:type="dxa" w:w="4703"/>
            <w:shd w:fill="1A365D" w:val="clear"/>
          </w:tcPr>
          <w:p>
            <w:r/>
            <w:r>
              <w:rPr>
                <w:rFonts w:ascii="Calibri" w:hAnsi="Calibri"/>
                <w:b/>
                <w:i w:val="0"/>
                <w:color w:val="FFFFFF"/>
                <w:sz w:val="18"/>
              </w:rPr>
              <w:t>Amount</w:t>
            </w:r>
          </w:p>
        </w:tc>
      </w:tr>
      <w:tr>
        <w:tc>
          <w:tcPr>
            <w:tcW w:type="dxa" w:w="4703"/>
          </w:tcPr>
          <w:p>
            <w:r/>
            <w:r>
              <w:rPr>
                <w:rFonts w:ascii="Calibri" w:hAnsi="Calibri"/>
                <w:b w:val="0"/>
                <w:i w:val="0"/>
                <w:color w:val="000000"/>
                <w:sz w:val="18"/>
              </w:rPr>
              <w:t>Net monthly salary</w:t>
            </w:r>
          </w:p>
        </w:tc>
        <w:tc>
          <w:tcPr>
            <w:tcW w:type="dxa" w:w="4703"/>
          </w:tcPr>
          <w:p>
            <w:r/>
            <w:r>
              <w:rPr>
                <w:rFonts w:ascii="Calibri" w:hAnsi="Calibri"/>
                <w:b w:val="0"/>
                <w:i w:val="0"/>
                <w:color w:val="000000"/>
                <w:sz w:val="18"/>
              </w:rPr>
              <w:t>€2,000 per calendar month</w:t>
            </w:r>
          </w:p>
        </w:tc>
      </w:tr>
      <w:tr>
        <w:tc>
          <w:tcPr>
            <w:tcW w:type="dxa" w:w="4703"/>
          </w:tcPr>
          <w:p>
            <w:r/>
            <w:r>
              <w:rPr>
                <w:rFonts w:ascii="Calibri" w:hAnsi="Calibri"/>
                <w:b w:val="0"/>
                <w:i w:val="0"/>
                <w:color w:val="000000"/>
                <w:sz w:val="18"/>
              </w:rPr>
              <w:t>Payment date</w:t>
            </w:r>
          </w:p>
        </w:tc>
        <w:tc>
          <w:tcPr>
            <w:tcW w:type="dxa" w:w="4703"/>
          </w:tcPr>
          <w:p>
            <w:r/>
            <w:r>
              <w:rPr>
                <w:rFonts w:ascii="Calibri" w:hAnsi="Calibri"/>
                <w:b w:val="0"/>
                <w:i w:val="0"/>
                <w:color w:val="000000"/>
                <w:sz w:val="18"/>
              </w:rPr>
              <w:t>By the 28th of each month (or last banking day)</w:t>
            </w:r>
          </w:p>
        </w:tc>
      </w:tr>
      <w:tr>
        <w:tc>
          <w:tcPr>
            <w:tcW w:type="dxa" w:w="4703"/>
          </w:tcPr>
          <w:p>
            <w:r/>
            <w:r>
              <w:rPr>
                <w:rFonts w:ascii="Calibri" w:hAnsi="Calibri"/>
                <w:b w:val="0"/>
                <w:i w:val="0"/>
                <w:color w:val="000000"/>
                <w:sz w:val="18"/>
              </w:rPr>
              <w:t>Ratification</w:t>
            </w:r>
          </w:p>
        </w:tc>
        <w:tc>
          <w:tcPr>
            <w:tcW w:type="dxa" w:w="4703"/>
          </w:tcPr>
          <w:p>
            <w:r/>
            <w:r>
              <w:rPr>
                <w:rFonts w:ascii="Calibri" w:hAnsi="Calibri"/>
                <w:b w:val="0"/>
                <w:i w:val="0"/>
                <w:color w:val="000000"/>
                <w:sz w:val="18"/>
              </w:rPr>
              <w:t>Shareholder resolution ratifies payments made at this rate from 1 July 2025</w:t>
            </w:r>
          </w:p>
        </w:tc>
      </w:tr>
    </w:tbl>
    <w:p/>
    <w:p>
      <w:pPr>
        <w:jc w:val="both"/>
      </w:pPr>
      <w:r>
        <w:rPr>
          <w:rFonts w:ascii="Calibri" w:hAnsi="Calibri"/>
          <w:b w:val="0"/>
          <w:i w:val="0"/>
          <w:color w:val="000000"/>
          <w:sz w:val="20"/>
        </w:rPr>
        <w:t>The Employer shall operate PAYE and social insurance on the gross equivalent of €2,000 net as determined by the Company’s payroll adviser for each pay period. Payslips shall show gross, deductions, and net.</w:t>
      </w:r>
    </w:p>
    <w:p>
      <w:pPr>
        <w:jc w:val="both"/>
      </w:pPr>
      <w:r>
        <w:rPr>
          <w:rFonts w:ascii="Calibri" w:hAnsi="Calibri"/>
          <w:b w:val="0"/>
          <w:i w:val="0"/>
          <w:color w:val="000000"/>
          <w:sz w:val="20"/>
        </w:rPr>
        <w:t>2.1A Payroll reconciliation (before execution): Ratification of historic payments is not sufficient for tax compliance. Before this Agreement is executed, the Company’s payroll adviser shall provide a written reconciliation of all managing director remuneration from 1 July 2025 to the execution date (gross amounts, PAYE, social insurance, and any arrears). Any underpayment shall be remedied through corrected payroll filings and payments before Galascope EPC signing where practicable.</w:t>
      </w:r>
    </w:p>
    <w:p>
      <w:pPr>
        <w:jc w:val="both"/>
      </w:pPr>
      <w:r>
        <w:rPr>
          <w:rFonts w:ascii="Calibri" w:hAnsi="Calibri"/>
          <w:b/>
          <w:i w:val="0"/>
          <w:color w:val="000000"/>
          <w:sz w:val="20"/>
        </w:rPr>
        <w:t>2.2 From Galascope EPC Effective Date: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Item</w:t>
            </w:r>
          </w:p>
        </w:tc>
        <w:tc>
          <w:tcPr>
            <w:tcW w:type="dxa" w:w="4703"/>
            <w:shd w:fill="1A365D" w:val="clear"/>
          </w:tcPr>
          <w:p>
            <w:r/>
            <w:r>
              <w:rPr>
                <w:rFonts w:ascii="Calibri" w:hAnsi="Calibri"/>
                <w:b/>
                <w:i w:val="0"/>
                <w:color w:val="FFFFFF"/>
                <w:sz w:val="18"/>
              </w:rPr>
              <w:t>Amount</w:t>
            </w:r>
          </w:p>
        </w:tc>
      </w:tr>
      <w:tr>
        <w:tc>
          <w:tcPr>
            <w:tcW w:type="dxa" w:w="4703"/>
          </w:tcPr>
          <w:p>
            <w:r/>
            <w:r>
              <w:rPr>
                <w:rFonts w:ascii="Calibri" w:hAnsi="Calibri"/>
                <w:b w:val="0"/>
                <w:i w:val="0"/>
                <w:color w:val="000000"/>
                <w:sz w:val="18"/>
              </w:rPr>
              <w:t>Gross monthly salary</w:t>
            </w:r>
          </w:p>
        </w:tc>
        <w:tc>
          <w:tcPr>
            <w:tcW w:type="dxa" w:w="4703"/>
          </w:tcPr>
          <w:p>
            <w:r/>
            <w:r>
              <w:rPr>
                <w:rFonts w:ascii="Calibri" w:hAnsi="Calibri"/>
                <w:b w:val="0"/>
                <w:i w:val="0"/>
                <w:color w:val="000000"/>
                <w:sz w:val="18"/>
              </w:rPr>
              <w:t>€5,000 per calendar month</w:t>
            </w:r>
          </w:p>
        </w:tc>
      </w:tr>
      <w:tr>
        <w:tc>
          <w:tcPr>
            <w:tcW w:type="dxa" w:w="4703"/>
          </w:tcPr>
          <w:p>
            <w:r/>
            <w:r>
              <w:rPr>
                <w:rFonts w:ascii="Calibri" w:hAnsi="Calibri"/>
                <w:b w:val="0"/>
                <w:i w:val="0"/>
                <w:color w:val="000000"/>
                <w:sz w:val="18"/>
              </w:rPr>
              <w:t>Trigger</w:t>
            </w:r>
          </w:p>
        </w:tc>
        <w:tc>
          <w:tcPr>
            <w:tcW w:type="dxa" w:w="4703"/>
          </w:tcPr>
          <w:p>
            <w:r/>
            <w:r>
              <w:rPr>
                <w:rFonts w:ascii="Calibri" w:hAnsi="Calibri"/>
                <w:b w:val="0"/>
                <w:i w:val="0"/>
                <w:color w:val="000000"/>
                <w:sz w:val="18"/>
              </w:rPr>
              <w:t>Galascope EPC Effective Date — Galascope Ltd EPC (ref LCY-EPC-GAL-B1-2026 or successor) signed and stamped by both Lighthief Cyprus Ltd and Galascope Ltd</w:t>
            </w:r>
          </w:p>
        </w:tc>
      </w:tr>
      <w:tr>
        <w:tc>
          <w:tcPr>
            <w:tcW w:type="dxa" w:w="4703"/>
          </w:tcPr>
          <w:p>
            <w:r/>
            <w:r>
              <w:rPr>
                <w:rFonts w:ascii="Calibri" w:hAnsi="Calibri"/>
                <w:b w:val="0"/>
                <w:i w:val="0"/>
                <w:color w:val="000000"/>
                <w:sz w:val="18"/>
              </w:rPr>
              <w:t>First €5,000 month</w:t>
            </w:r>
          </w:p>
        </w:tc>
        <w:tc>
          <w:tcPr>
            <w:tcW w:type="dxa" w:w="4703"/>
          </w:tcPr>
          <w:p>
            <w:r/>
            <w:r>
              <w:rPr>
                <w:rFonts w:ascii="Calibri" w:hAnsi="Calibri"/>
                <w:b w:val="0"/>
                <w:i w:val="0"/>
                <w:color w:val="000000"/>
                <w:sz w:val="18"/>
              </w:rPr>
              <w:t>Pro-rata or full month from Effective Date — [as counsel advises]</w:t>
            </w:r>
          </w:p>
        </w:tc>
      </w:tr>
    </w:tbl>
    <w:p/>
    <w:p>
      <w:pPr>
        <w:jc w:val="both"/>
      </w:pPr>
      <w:r>
        <w:rPr>
          <w:rFonts w:ascii="Calibri" w:hAnsi="Calibri"/>
          <w:b w:val="0"/>
          <w:i w:val="0"/>
          <w:color w:val="000000"/>
          <w:sz w:val="20"/>
        </w:rPr>
        <w:t>2.3 No duplication. Salary is not commission, introducer fee, or success fee. No amount payable under the Moi Ostrov agreement or equity side letter shall reduce salary unless expressly agreed in writing.</w:t>
      </w:r>
    </w:p>
    <w:p>
      <w:pPr>
        <w:jc w:val="both"/>
      </w:pPr>
      <w:r>
        <w:rPr>
          <w:rFonts w:ascii="Calibri" w:hAnsi="Calibri"/>
          <w:b/>
          <w:i w:val="0"/>
          <w:color w:val="000000"/>
          <w:sz w:val="20"/>
        </w:rPr>
        <w:t>2.4 Benefits. [Statutory minimums only / specify medical, car, phone — as agreed]</w:t>
      </w:r>
    </w:p>
    <w:p>
      <w:pPr>
        <w:jc w:val="both"/>
      </w:pPr>
      <w:r>
        <w:rPr>
          <w:rFonts w:ascii="Calibri" w:hAnsi="Calibri"/>
          <w:b w:val="0"/>
          <w:i w:val="0"/>
          <w:color w:val="000000"/>
          <w:sz w:val="20"/>
        </w:rPr>
        <w:t>2.5 Expenses. Reasonable business expenses reimbursed on submission of receipts per Company policy.</w:t>
      </w:r>
    </w:p>
    <w:p>
      <w:pPr>
        <w:spacing w:before="240"/>
      </w:pPr>
      <w:r>
        <w:rPr>
          <w:rFonts w:ascii="Calibri" w:hAnsi="Calibri"/>
          <w:b/>
          <w:i w:val="0"/>
          <w:color w:val="C9A432"/>
          <w:sz w:val="24"/>
        </w:rPr>
        <w:t>3. Hours and place of work</w:t>
      </w:r>
    </w:p>
    <w:p>
      <w:pPr>
        <w:jc w:val="both"/>
      </w:pPr>
      <w:r>
        <w:rPr>
          <w:rFonts w:ascii="Calibri" w:hAnsi="Calibri"/>
          <w:b w:val="0"/>
          <w:i w:val="0"/>
          <w:color w:val="000000"/>
          <w:sz w:val="20"/>
        </w:rPr>
        <w:t>3.1 Full-time executive role. Hours as required for the proper performance of duties.</w:t>
      </w:r>
    </w:p>
    <w:p>
      <w:pPr>
        <w:jc w:val="both"/>
      </w:pPr>
      <w:r>
        <w:rPr>
          <w:rFonts w:ascii="Calibri" w:hAnsi="Calibri"/>
          <w:b w:val="0"/>
          <w:i w:val="0"/>
          <w:color w:val="000000"/>
          <w:sz w:val="20"/>
        </w:rPr>
        <w:t>3.2 Principal place of work: Company office, Limassol, Cyprus, and client/project sites as required.</w:t>
      </w:r>
    </w:p>
    <w:p>
      <w:pPr>
        <w:spacing w:before="240"/>
      </w:pPr>
      <w:r>
        <w:rPr>
          <w:rFonts w:ascii="Calibri" w:hAnsi="Calibri"/>
          <w:b/>
          <w:i w:val="0"/>
          <w:color w:val="C9A432"/>
          <w:sz w:val="24"/>
        </w:rPr>
        <w:t>4. Holiday, sick leave, and statutory entitlements</w:t>
      </w:r>
    </w:p>
    <w:p>
      <w:pPr>
        <w:jc w:val="both"/>
      </w:pPr>
      <w:r>
        <w:rPr>
          <w:rFonts w:ascii="Calibri" w:hAnsi="Calibri"/>
          <w:b w:val="0"/>
          <w:i w:val="0"/>
          <w:color w:val="000000"/>
          <w:sz w:val="20"/>
        </w:rPr>
        <w:t>As per Cyprus law and Company policy — [counsel to insert minimum statutory entitlements].</w:t>
      </w:r>
    </w:p>
    <w:p>
      <w:pPr>
        <w:spacing w:before="240"/>
      </w:pPr>
      <w:r>
        <w:rPr>
          <w:rFonts w:ascii="Calibri" w:hAnsi="Calibri"/>
          <w:b/>
          <w:i w:val="0"/>
          <w:color w:val="C9A432"/>
          <w:sz w:val="24"/>
        </w:rPr>
        <w:t>5. Confidentiality and intellectual property</w:t>
      </w:r>
    </w:p>
    <w:p>
      <w:pPr>
        <w:jc w:val="both"/>
      </w:pPr>
      <w:r>
        <w:rPr>
          <w:rFonts w:ascii="Calibri" w:hAnsi="Calibri"/>
          <w:b w:val="0"/>
          <w:i w:val="0"/>
          <w:color w:val="000000"/>
          <w:sz w:val="20"/>
        </w:rPr>
        <w:t>5.1 Employee shall keep confidential all Company, client, and commercial information.</w:t>
      </w:r>
    </w:p>
    <w:p>
      <w:pPr>
        <w:jc w:val="both"/>
      </w:pPr>
      <w:r>
        <w:rPr>
          <w:rFonts w:ascii="Calibri" w:hAnsi="Calibri"/>
          <w:b w:val="0"/>
          <w:i w:val="0"/>
          <w:color w:val="000000"/>
          <w:sz w:val="20"/>
        </w:rPr>
        <w:t>5.2 All work product, client relationships developed in role, pipeline data, proposals, and deliverables belong to the Company.</w:t>
      </w:r>
    </w:p>
    <w:p>
      <w:pPr>
        <w:spacing w:before="240"/>
      </w:pPr>
      <w:r>
        <w:rPr>
          <w:rFonts w:ascii="Calibri" w:hAnsi="Calibri"/>
          <w:b/>
          <w:i w:val="0"/>
          <w:color w:val="C9A432"/>
          <w:sz w:val="24"/>
        </w:rPr>
        <w:t>6. Termination</w:t>
      </w:r>
    </w:p>
    <w:p>
      <w:pPr>
        <w:jc w:val="both"/>
      </w:pPr>
      <w:r>
        <w:rPr>
          <w:rFonts w:ascii="Calibri" w:hAnsi="Calibri"/>
          <w:b w:val="0"/>
          <w:i w:val="0"/>
          <w:color w:val="000000"/>
          <w:sz w:val="20"/>
        </w:rPr>
        <w:t>6.1 After any probation period [___], either Party may terminate on [three (3) months’] written notice unless summary dismissal applies under law.</w:t>
      </w:r>
    </w:p>
    <w:p>
      <w:pPr>
        <w:jc w:val="both"/>
      </w:pPr>
      <w:r>
        <w:rPr>
          <w:rFonts w:ascii="Calibri" w:hAnsi="Calibri"/>
          <w:b w:val="0"/>
          <w:i w:val="0"/>
          <w:color w:val="000000"/>
          <w:sz w:val="20"/>
        </w:rPr>
        <w:t>6.2 Good Reason (for cross-reference with equity side letter): material reduction in salary without consent; material breach by Company of this Agreement; material diminution of duties inconsistent with MD role — [counsel to expand].</w:t>
      </w:r>
    </w:p>
    <w:p>
      <w:pPr>
        <w:jc w:val="both"/>
      </w:pPr>
      <w:r>
        <w:rPr>
          <w:rFonts w:ascii="Calibri" w:hAnsi="Calibri"/>
          <w:b w:val="0"/>
          <w:i w:val="0"/>
          <w:color w:val="000000"/>
          <w:sz w:val="20"/>
        </w:rPr>
        <w:t>6.3 On termination, accrued salary and statutory entitlements are payable. Introducer fees on signed contracts survive per Moi Ostrov agreement.</w:t>
      </w:r>
    </w:p>
    <w:p>
      <w:pPr>
        <w:spacing w:before="240"/>
      </w:pPr>
      <w:r>
        <w:rPr>
          <w:rFonts w:ascii="Calibri" w:hAnsi="Calibri"/>
          <w:b/>
          <w:i w:val="0"/>
          <w:color w:val="C9A432"/>
          <w:sz w:val="24"/>
        </w:rPr>
        <w:t>7. Conflict of interest and related-party approval</w:t>
      </w:r>
    </w:p>
    <w:p>
      <w:pPr>
        <w:jc w:val="both"/>
      </w:pPr>
      <w:r>
        <w:rPr>
          <w:rFonts w:ascii="Calibri" w:hAnsi="Calibri"/>
          <w:b w:val="0"/>
          <w:i w:val="0"/>
          <w:color w:val="000000"/>
          <w:sz w:val="20"/>
        </w:rPr>
        <w:t>7.1 The Employee discloses his directorship of Moi Ostrov Ltd and any other interests per Section 191, Cap. 113.</w:t>
      </w:r>
    </w:p>
    <w:p>
      <w:pPr>
        <w:jc w:val="both"/>
      </w:pPr>
      <w:r>
        <w:rPr>
          <w:rFonts w:ascii="Calibri" w:hAnsi="Calibri"/>
          <w:b w:val="0"/>
          <w:i w:val="0"/>
          <w:color w:val="000000"/>
          <w:sz w:val="20"/>
        </w:rPr>
        <w:t>7.2 This Agreement was approved by the Shareholder as a related-party transaction. The Employee shall not participate in board deliberations on his own remuneration except to provide information.</w:t>
      </w:r>
    </w:p>
    <w:p>
      <w:pPr>
        <w:spacing w:before="240"/>
      </w:pPr>
      <w:r>
        <w:rPr>
          <w:rFonts w:ascii="Calibri" w:hAnsi="Calibri"/>
          <w:b/>
          <w:i w:val="0"/>
          <w:color w:val="C9A432"/>
          <w:sz w:val="24"/>
        </w:rPr>
        <w:t>8. General</w:t>
      </w:r>
    </w:p>
    <w:p>
      <w:pPr>
        <w:jc w:val="both"/>
      </w:pPr>
      <w:r>
        <w:rPr>
          <w:rFonts w:ascii="Calibri" w:hAnsi="Calibri"/>
          <w:b w:val="0"/>
          <w:i w:val="0"/>
          <w:color w:val="000000"/>
          <w:sz w:val="20"/>
        </w:rPr>
        <w:t>8.1 Entire agreement for employment terms. Other instruments (Moi Ostrov, side letter, Option A loan) are separate.</w:t>
      </w:r>
    </w:p>
    <w:p>
      <w:pPr>
        <w:jc w:val="both"/>
      </w:pPr>
      <w:r>
        <w:rPr>
          <w:rFonts w:ascii="Calibri" w:hAnsi="Calibri"/>
          <w:b w:val="0"/>
          <w:i w:val="0"/>
          <w:color w:val="000000"/>
          <w:sz w:val="20"/>
        </w:rPr>
        <w:t>8.2 Amendments in writing signed by both Parties and, if counsel requires, Shareholder consent.</w:t>
      </w:r>
    </w:p>
    <w:p>
      <w:pPr>
        <w:jc w:val="both"/>
      </w:pPr>
      <w:r>
        <w:rPr>
          <w:rFonts w:ascii="Calibri" w:hAnsi="Calibri"/>
          <w:b w:val="0"/>
          <w:i w:val="0"/>
          <w:color w:val="000000"/>
          <w:sz w:val="20"/>
        </w:rPr>
        <w:t>8.3 Notices: office@lighthief.com (Company); al@moiostrov.com (Employee).</w:t>
      </w:r>
    </w:p>
    <w:p>
      <w:pPr>
        <w:jc w:val="both"/>
      </w:pPr>
      <w:r>
        <w:rPr>
          <w:rFonts w:ascii="Calibri" w:hAnsi="Calibri"/>
          <w:b w:val="0"/>
          <w:i w:val="0"/>
          <w:color w:val="000000"/>
          <w:sz w:val="20"/>
        </w:rPr>
        <w:t>8.4 Director and secretary protections. The Employee serves as a director and company secretary of the Company in addition to this employment. The Company’s obligations under the Director &amp; Officer Protections deed (LCY-DIR-IND-2026-001), including D&amp;O insurance and Cap. 113 indemnity, apply to the Employee in those capacities. Termination of employment does not automatically terminate office; protections survive cessation of each role as stated in that deed.</w:t>
      </w:r>
    </w:p>
    <w:p>
      <w:pPr>
        <w:jc w:val="both"/>
      </w:pPr>
      <w:r>
        <w:rPr>
          <w:rFonts w:ascii="Calibri" w:hAnsi="Calibri"/>
          <w:b w:val="0"/>
          <w:i w:val="0"/>
          <w:color w:val="000000"/>
          <w:sz w:val="20"/>
        </w:rPr>
        <w:t>8.5 Employee duties under this Agreement are distinct from fiduciary duties as director. The Employee shall comply with Section 191, Cap. 113, and recuse from board decisions on his own remuneration except to provide information.</w:t>
      </w:r>
    </w:p>
    <w:p>
      <w:pPr>
        <w:spacing w:before="240"/>
      </w:pPr>
      <w:r>
        <w:rPr>
          <w:rFonts w:ascii="Calibri" w:hAnsi="Calibri"/>
          <w:b/>
          <w:i w:val="0"/>
          <w:color w:val="C9A432"/>
          <w:sz w:val="24"/>
        </w:rPr>
        <w:t>9. 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Employer — Lighthief Cyprus Ltd (HE 477423)</w:t>
            </w:r>
          </w:p>
        </w:tc>
        <w:tc>
          <w:tcPr>
            <w:tcW w:type="dxa" w:w="3135"/>
          </w:tcPr>
          <w:p>
            <w:r/>
            <w:r>
              <w:rPr>
                <w:rFonts w:ascii="Calibri" w:hAnsi="Calibri"/>
                <w:b w:val="0"/>
                <w:i w:val="0"/>
                <w:color w:val="000000"/>
                <w:sz w:val="18"/>
              </w:rPr>
              <w:t>Alexander Papacosta, Director *(authorised by Shareholder resolution)*</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Employee</w:t>
            </w:r>
          </w:p>
        </w:tc>
        <w:tc>
          <w:tcPr>
            <w:tcW w:type="dxa" w:w="3135"/>
          </w:tcPr>
          <w:p>
            <w:r/>
            <w:r>
              <w:rPr>
                <w:rFonts w:ascii="Calibri" w:hAnsi="Calibri"/>
                <w:b w:val="0"/>
                <w:i w:val="0"/>
                <w:color w:val="000000"/>
                <w:sz w:val="18"/>
              </w:rPr>
              <w:t>Alexander Papacosta (Cyprus ID: 1241318)</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Annex A: Job description summary (optional)</w:t>
      </w:r>
    </w:p>
    <w:p>
      <w:pPr>
        <w:jc w:val="both"/>
      </w:pPr>
      <w:r>
        <w:rPr>
          <w:rFonts w:ascii="Calibri" w:hAnsi="Calibri"/>
          <w:b w:val="0"/>
          <w:i w:val="0"/>
          <w:color w:val="000000"/>
          <w:sz w:val="20"/>
        </w:rPr>
        <w:t>Annex B: Shareholder written resolution approving and ratifying this Agreement (LCY-SHR-EMP-2026-001)</w:t>
      </w:r>
    </w:p>
    <w:p>
      <w:pPr>
        <w:jc w:val="both"/>
      </w:pPr>
      <w:r>
        <w:rPr>
          <w:rFonts w:ascii="Calibri" w:hAnsi="Calibri"/>
          <w:b w:val="0"/>
          <w:i w:val="0"/>
          <w:color w:val="000000"/>
          <w:sz w:val="20"/>
        </w:rPr>
        <w:t>End of draft — not legal advice. Payroll adviser must confirm gross equivalents for €2,000 net periods.</w:t>
      </w:r>
    </w:p>
    <w:p/>
    <w:p>
      <w:r>
        <w:rPr>
          <w:rFonts w:ascii="Calibri" w:hAnsi="Calibri"/>
          <w:b/>
          <w:i w:val="0"/>
          <w:color w:val="C9A432"/>
          <w:sz w:val="24"/>
        </w:rPr>
        <w:t>SIGNATURES</w:t>
      </w:r>
    </w:p>
    <w:p/>
    <w:p>
      <w:r>
        <w:rPr>
          <w:rFonts w:ascii="Calibri" w:hAnsi="Calibri"/>
          <w:b/>
          <w:i w:val="0"/>
          <w:color w:val="000000"/>
          <w:sz w:val="20"/>
        </w:rPr>
        <w:t>Employer — Lighthief Cyprus Ltd (authorised by shareholder resolution)</w:t>
      </w:r>
    </w:p>
    <w:p>
      <w:r>
        <w:rPr>
          <w:rFonts w:ascii="Calibri" w:hAnsi="Calibri"/>
          <w:b w:val="0"/>
          <w:i w:val="0"/>
          <w:color w:val="000000"/>
          <w:sz w:val="20"/>
        </w:rPr>
        <w:t>Signature: ______________________   Date: ______________________</w:t>
      </w:r>
    </w:p>
    <w:p/>
    <w:p>
      <w:r>
        <w:rPr>
          <w:rFonts w:ascii="Calibri" w:hAnsi="Calibri"/>
          <w:b/>
          <w:i w:val="0"/>
          <w:color w:val="000000"/>
          <w:sz w:val="20"/>
        </w:rPr>
        <w:t>Employee — Alexander Papacosta (Cyprus ID: 1241318)</w:t>
      </w:r>
    </w:p>
    <w:p>
      <w:r>
        <w:rPr>
          <w:rFonts w:ascii="Calibri" w:hAnsi="Calibri"/>
          <w:b w:val="0"/>
          <w:i w:val="0"/>
          <w:color w:val="000000"/>
          <w:sz w:val="20"/>
        </w:rPr>
        <w:t>Signature: ______________________   Date: ______________________</w:t>
      </w:r>
    </w:p>
    <w:p>
      <w:pPr>
        <w:sectPr>
          <w:footerReference w:type="default" r:id="rId18"/>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WRITTEN RESOLUTION — APPROVAL OF MD EMPLOYMENT</w:t>
      </w:r>
    </w:p>
    <w:p/>
    <w:p>
      <w:pPr>
        <w:jc w:val="both"/>
      </w:pPr>
      <w:r>
        <w:rPr>
          <w:rFonts w:ascii="Calibri" w:hAnsi="Calibri"/>
          <w:b w:val="0"/>
          <w:i w:val="0"/>
          <w:color w:val="000000"/>
          <w:sz w:val="20"/>
        </w:rPr>
        <w:t>Status: TEMPLATE — Cyprus legal review required</w:t>
      </w:r>
    </w:p>
    <w:p>
      <w:pPr>
        <w:jc w:val="both"/>
      </w:pPr>
      <w:r>
        <w:rPr>
          <w:rFonts w:ascii="Calibri" w:hAnsi="Calibri"/>
          <w:b w:val="0"/>
          <w:i w:val="0"/>
          <w:color w:val="000000"/>
          <w:sz w:val="20"/>
        </w:rPr>
        <w:t>Ref: LCY-SHR-EMP-2026-001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Shareholder: Lighthief International Ltd (sole shareholder)</w:t>
      </w:r>
    </w:p>
    <w:p>
      <w:pPr>
        <w:jc w:val="both"/>
      </w:pPr>
      <w:r>
        <w:rPr>
          <w:rFonts w:ascii="Calibri" w:hAnsi="Calibri"/>
          <w:b w:val="0"/>
          <w:i w:val="0"/>
          <w:color w:val="000000"/>
          <w:sz w:val="20"/>
        </w:rPr>
        <w:t>UBO: Dr. Arkadiusz Sybaris</w:t>
      </w:r>
    </w:p>
    <w:p>
      <w:pPr>
        <w:jc w:val="both"/>
      </w:pPr>
      <w:r>
        <w:rPr>
          <w:rFonts w:ascii="Calibri" w:hAnsi="Calibri"/>
          <w:b w:val="0"/>
          <w:i w:val="0"/>
          <w:color w:val="000000"/>
          <w:sz w:val="20"/>
        </w:rPr>
        <w:t>Passed in accordance with Section 135, Cyprus Companies Law, Cap. 113.</w:t>
      </w:r>
    </w:p>
    <w:p>
      <w:pPr>
        <w:spacing w:before="240"/>
      </w:pPr>
      <w:r>
        <w:rPr>
          <w:rFonts w:ascii="Calibri" w:hAnsi="Calibri"/>
          <w:b/>
          <w:i w:val="0"/>
          <w:color w:val="C9A432"/>
          <w:sz w:val="24"/>
        </w:rPr>
        <w:t>Resolution</w:t>
      </w:r>
    </w:p>
    <w:p>
      <w:pPr>
        <w:jc w:val="both"/>
      </w:pPr>
      <w:r>
        <w:rPr>
          <w:rFonts w:ascii="Calibri" w:hAnsi="Calibri"/>
          <w:b w:val="0"/>
          <w:i w:val="0"/>
          <w:color w:val="000000"/>
          <w:sz w:val="20"/>
        </w:rPr>
        <w:t>THE SOLE SHAREHOLDER of Lighthief Cyprus Ltd (the “Company”) hereby resolves:</w:t>
      </w:r>
    </w:p>
    <w:p>
      <w:pPr>
        <w:jc w:val="both"/>
      </w:pPr>
      <w:r>
        <w:rPr>
          <w:rFonts w:ascii="Calibri" w:hAnsi="Calibri"/>
          <w:b w:val="0"/>
          <w:i w:val="0"/>
          <w:color w:val="000000"/>
          <w:sz w:val="20"/>
        </w:rPr>
        <w:t>1. Approval of employment. The Contract of Employment between the Company and Alexander Papacosta (Cyprus ID: 1241318) as Managing Director, reference LCY-EMP-AP-2026-001 (the “Employment Agreement”), is approved and ratified in its entirety.</w:t>
      </w:r>
    </w:p>
    <w:p>
      <w:pPr>
        <w:jc w:val="both"/>
      </w:pPr>
      <w:r>
        <w:rPr>
          <w:rFonts w:ascii="Calibri" w:hAnsi="Calibri"/>
          <w:b w:val="0"/>
          <w:i w:val="0"/>
          <w:color w:val="000000"/>
          <w:sz w:val="20"/>
        </w:rPr>
        <w:t>2. Remuneration terms. The Shareholder approves: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Period</w:t>
            </w:r>
          </w:p>
        </w:tc>
        <w:tc>
          <w:tcPr>
            <w:tcW w:type="dxa" w:w="4703"/>
            <w:shd w:fill="1A365D" w:val="clear"/>
          </w:tcPr>
          <w:p>
            <w:r/>
            <w:r>
              <w:rPr>
                <w:rFonts w:ascii="Calibri" w:hAnsi="Calibri"/>
                <w:b/>
                <w:i w:val="0"/>
                <w:color w:val="FFFFFF"/>
                <w:sz w:val="18"/>
              </w:rPr>
              <w:t>Remuneration</w:t>
            </w:r>
          </w:p>
        </w:tc>
      </w:tr>
      <w:tr>
        <w:tc>
          <w:tcPr>
            <w:tcW w:type="dxa" w:w="4703"/>
          </w:tcPr>
          <w:p>
            <w:r/>
            <w:r>
              <w:rPr>
                <w:rFonts w:ascii="Calibri" w:hAnsi="Calibri"/>
                <w:b w:val="0"/>
                <w:i w:val="0"/>
                <w:color w:val="000000"/>
                <w:sz w:val="18"/>
              </w:rPr>
              <w:t>From 1 July 2025 until the day before Galascope EPC Effective Date</w:t>
            </w:r>
          </w:p>
        </w:tc>
        <w:tc>
          <w:tcPr>
            <w:tcW w:type="dxa" w:w="4703"/>
          </w:tcPr>
          <w:p>
            <w:r/>
            <w:r>
              <w:rPr>
                <w:rFonts w:ascii="Calibri" w:hAnsi="Calibri"/>
                <w:b w:val="0"/>
                <w:i w:val="0"/>
                <w:color w:val="000000"/>
                <w:sz w:val="18"/>
              </w:rPr>
              <w:t>€2,000 net per month (with PAYE/NIS on gross equivalent per payroll adviser)</w:t>
            </w:r>
          </w:p>
        </w:tc>
      </w:tr>
      <w:tr>
        <w:tc>
          <w:tcPr>
            <w:tcW w:type="dxa" w:w="4703"/>
          </w:tcPr>
          <w:p>
            <w:r/>
            <w:r>
              <w:rPr>
                <w:rFonts w:ascii="Calibri" w:hAnsi="Calibri"/>
                <w:b w:val="0"/>
                <w:i w:val="0"/>
                <w:color w:val="000000"/>
                <w:sz w:val="18"/>
              </w:rPr>
              <w:t>From Galascope EPC Effective Date</w:t>
            </w:r>
          </w:p>
        </w:tc>
        <w:tc>
          <w:tcPr>
            <w:tcW w:type="dxa" w:w="4703"/>
          </w:tcPr>
          <w:p>
            <w:r/>
            <w:r>
              <w:rPr>
                <w:rFonts w:ascii="Calibri" w:hAnsi="Calibri"/>
                <w:b w:val="0"/>
                <w:i w:val="0"/>
                <w:color w:val="000000"/>
                <w:sz w:val="18"/>
              </w:rPr>
              <w:t>€5,000 gross per month</w:t>
            </w:r>
          </w:p>
        </w:tc>
      </w:tr>
    </w:tbl>
    <w:p/>
    <w:p>
      <w:pPr>
        <w:jc w:val="both"/>
      </w:pPr>
      <w:r>
        <w:rPr>
          <w:rFonts w:ascii="Calibri" w:hAnsi="Calibri"/>
          <w:b w:val="0"/>
          <w:i w:val="0"/>
          <w:color w:val="000000"/>
          <w:sz w:val="20"/>
        </w:rPr>
        <w:t>Galascope EPC Effective Date means the date on which the Galascope Ltd BESS EPC contract (LCY-EPC-GAL-B1-2026 or successor) is signed and stamped by both the Company and Galascope Ltd.</w:t>
      </w:r>
    </w:p>
    <w:p>
      <w:pPr>
        <w:jc w:val="both"/>
      </w:pPr>
      <w:r>
        <w:rPr>
          <w:rFonts w:ascii="Calibri" w:hAnsi="Calibri"/>
          <w:b w:val="0"/>
          <w:i w:val="0"/>
          <w:color w:val="000000"/>
          <w:sz w:val="20"/>
        </w:rPr>
        <w:t>3. Ratification and payroll reconciliation. The Shareholder ratifies managing director remuneration paid at €2,000 net per month for the period 1 July 2025 to the date of this Resolution. Ratification alone does not satisfy tax or social-insurance obligations. The Director shall cause the Company’s payroll adviser to reconcile historic PAYE and NIS for that period and remediate any underpayment before execution of the Employment Agreement where practicable.</w:t>
      </w:r>
    </w:p>
    <w:p>
      <w:pPr>
        <w:jc w:val="both"/>
      </w:pPr>
      <w:r>
        <w:rPr>
          <w:rFonts w:ascii="Calibri" w:hAnsi="Calibri"/>
          <w:b w:val="0"/>
          <w:i w:val="0"/>
          <w:color w:val="000000"/>
          <w:sz w:val="20"/>
        </w:rPr>
        <w:t>4. Related-party / conflict waiver. The Shareholder acknowledges that Alexander Papacosta is a director of the Company and will be party to the Employment Agreement as Employee. The Shareholder has considered the conflict of interest and waives objection, confirming the terms are in the Company’s commercial interests given the Employee’s executive role in building and delivering the Cyprus BESS platform.</w:t>
      </w:r>
    </w:p>
    <w:p>
      <w:pPr>
        <w:jc w:val="both"/>
      </w:pPr>
      <w:r>
        <w:rPr>
          <w:rFonts w:ascii="Calibri" w:hAnsi="Calibri"/>
          <w:b w:val="0"/>
          <w:i w:val="0"/>
          <w:color w:val="000000"/>
          <w:sz w:val="20"/>
        </w:rPr>
        <w:t>5. Authority to sign. Alexander Papacosta is authorised to execute the Employment Agreement on behalf of the Company notwithstanding his interest as Employee, provided he executes separately in that capacity.</w:t>
      </w:r>
    </w:p>
    <w:p>
      <w:pPr>
        <w:jc w:val="both"/>
      </w:pPr>
      <w:r>
        <w:rPr>
          <w:rFonts w:ascii="Calibri" w:hAnsi="Calibri"/>
          <w:b w:val="0"/>
          <w:i w:val="0"/>
          <w:color w:val="000000"/>
          <w:sz w:val="20"/>
        </w:rPr>
        <w:t>6. Separate from introducer fee. The Shareholder acknowledges that introducer / consultancy fees under the Moi Ostrov agreement (LCY-MOI-TOCA-2026-001) and any equity side letter are separate from employment salary and shall not be set off against salary without written consent.</w:t>
      </w:r>
    </w:p>
    <w:p>
      <w:pPr>
        <w:jc w:val="both"/>
      </w:pPr>
      <w:r>
        <w:rPr>
          <w:rFonts w:ascii="Calibri" w:hAnsi="Calibri"/>
          <w:b w:val="0"/>
          <w:i w:val="0"/>
          <w:color w:val="000000"/>
          <w:sz w:val="20"/>
        </w:rPr>
        <w:t>7. Filing. The Company Secretary shall file this Resolution with the statutory books.</w:t>
      </w:r>
    </w:p>
    <w:p>
      <w:pPr>
        <w:spacing w:before="240"/>
      </w:pPr>
      <w:r>
        <w:rPr>
          <w:rFonts w:ascii="Calibri" w:hAnsi="Calibri"/>
          <w:b/>
          <w:i w:val="0"/>
          <w:color w:val="C9A432"/>
          <w:sz w:val="24"/>
        </w:rPr>
        <w:t>Signature — Sole Shareholder</w:t>
      </w:r>
    </w:p>
    <w:p>
      <w:pPr>
        <w:jc w:val="both"/>
      </w:pPr>
      <w:r>
        <w:rPr>
          <w:rFonts w:ascii="Calibri" w:hAnsi="Calibri"/>
          <w:b w:val="0"/>
          <w:i w:val="0"/>
          <w:color w:val="000000"/>
          <w:sz w:val="20"/>
        </w:rPr>
        <w:t>For and on behalf of LIGHTHIEF INTERNATIONAL LTD</w:t>
      </w:r>
    </w:p>
    <w:p>
      <w:pPr>
        <w:jc w:val="both"/>
      </w:pPr>
      <w:r>
        <w:rPr>
          <w:rFonts w:ascii="Calibri" w:hAnsi="Calibri"/>
          <w:b w:val="0"/>
          <w:i w:val="0"/>
          <w:color w:val="000000"/>
          <w:sz w:val="20"/>
        </w:rPr>
        <w:t>(Sole shareholder of Lighthief Cyprus Ltd)</w:t>
      </w:r>
    </w:p>
    <w:p>
      <w:pPr>
        <w:jc w:val="both"/>
      </w:pPr>
      <w:r>
        <w:rPr>
          <w:rFonts w:ascii="Calibri" w:hAnsi="Calibri"/>
          <w:b w:val="0"/>
          <w:i w:val="0"/>
          <w:color w:val="000000"/>
          <w:sz w:val="20"/>
        </w:rPr>
        <w:t>&amp;nbsp;</w:t>
      </w:r>
    </w:p>
    <w:p>
      <w:pPr>
        <w:jc w:val="both"/>
      </w:pPr>
      <w:r>
        <w:rPr>
          <w:rFonts w:ascii="Calibri" w:hAnsi="Calibri"/>
          <w:b w:val="0"/>
          <w:i w:val="0"/>
          <w:color w:val="000000"/>
          <w:sz w:val="20"/>
        </w:rPr>
        <w:t>______________________________</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t>End of draft — Sybaris signature required; not the Employee signing for shareholder.</w:t>
      </w:r>
    </w:p>
    <w:p>
      <w:pPr>
        <w:sectPr>
          <w:footerReference w:type="default" r:id="rId19"/>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MD EQUITY PARTICIPATION SIDE LETTER (HEADS + CLAUSE WORDING)</w:t>
      </w:r>
    </w:p>
    <w:p/>
    <w:p>
      <w:pPr>
        <w:jc w:val="both"/>
      </w:pPr>
      <w:r>
        <w:rPr>
          <w:rFonts w:ascii="Calibri" w:hAnsi="Calibri"/>
          <w:b w:val="0"/>
          <w:i w:val="0"/>
          <w:color w:val="000000"/>
          <w:sz w:val="20"/>
        </w:rPr>
        <w:t>Status: TEMPLATE — Cyprus legal review required before signature</w:t>
      </w:r>
    </w:p>
    <w:p>
      <w:pPr>
        <w:jc w:val="both"/>
      </w:pPr>
      <w:r>
        <w:rPr>
          <w:rFonts w:ascii="Calibri" w:hAnsi="Calibri"/>
          <w:b w:val="0"/>
          <w:i w:val="0"/>
          <w:color w:val="000000"/>
          <w:sz w:val="20"/>
        </w:rPr>
        <w:t>Ref: LCY-MD-EQ-2026-001</w:t>
      </w:r>
    </w:p>
    <w:p>
      <w:pPr>
        <w:jc w:val="both"/>
      </w:pPr>
      <w:r>
        <w:rPr>
          <w:rFonts w:ascii="Calibri" w:hAnsi="Calibri"/>
          <w:b w:val="0"/>
          <w:i w:val="0"/>
          <w:color w:val="000000"/>
          <w:sz w:val="20"/>
        </w:rPr>
        <w:t>Parties: Dr. Arkadiusz Sybaris / Lighthief International Ltd (“Founder”) · Lighthief Cyprus Ltd (“Company”) · Alexander Papacosta (“MD”)</w:t>
      </w:r>
    </w:p>
    <w:p>
      <w:pPr>
        <w:jc w:val="both"/>
      </w:pPr>
      <w:r>
        <w:rPr>
          <w:rFonts w:ascii="Calibri" w:hAnsi="Calibri"/>
          <w:b w:val="0"/>
          <w:i w:val="0"/>
          <w:color w:val="000000"/>
          <w:sz w:val="20"/>
        </w:rPr>
        <w:t>Purpose: Convert founder’s May 2026 verbal package into one coherent instrument:</w:t>
      </w:r>
    </w:p>
    <w:p>
      <w:pPr>
        <w:jc w:val="both"/>
      </w:pPr>
      <w:r>
        <w:rPr>
          <w:rFonts w:ascii="Calibri" w:hAnsi="Calibri"/>
          <w:b w:val="0"/>
          <w:i w:val="0"/>
          <w:color w:val="000000"/>
          <w:sz w:val="20"/>
        </w:rPr>
        <w:t>1. EPC Milestone Equity — 10% on Galascope EPC signing + 10% on Esperia EPC signing (up to 20% total on the delivery path).</w:t>
      </w:r>
    </w:p>
    <w:p>
      <w:pPr>
        <w:jc w:val="both"/>
      </w:pPr>
      <w:r>
        <w:rPr>
          <w:rFonts w:ascii="Calibri" w:hAnsi="Calibri"/>
          <w:b w:val="0"/>
          <w:i w:val="0"/>
          <w:color w:val="000000"/>
          <w:sz w:val="20"/>
        </w:rPr>
        <w:t>2. Share Sale Participation Fee — 30% of gross cash on each third-party Qualifying Equity Closing (Founder payor preferred).</w:t>
      </w:r>
    </w:p>
    <w:p>
      <w:pPr>
        <w:jc w:val="both"/>
      </w:pPr>
      <w:r>
        <w:rPr>
          <w:rFonts w:ascii="Calibri" w:hAnsi="Calibri"/>
          <w:b w:val="0"/>
          <w:i w:val="0"/>
          <w:color w:val="000000"/>
          <w:sz w:val="20"/>
        </w:rPr>
        <w:t>3. Investor-path equity cap — if a third-party investor closes, MD’s aggregate equity is capped at 15% fully diluted (EPC grants already issued count toward the cap).</w:t>
      </w:r>
    </w:p>
    <w:p>
      <w:pPr>
        <w:jc w:val="both"/>
      </w:pPr>
      <w:r>
        <w:rPr>
          <w:rFonts w:ascii="Calibri" w:hAnsi="Calibri"/>
          <w:b w:val="0"/>
          <w:i w:val="0"/>
          <w:color w:val="000000"/>
          <w:sz w:val="20"/>
        </w:rPr>
        <w:t>4. Three-year dividend lock from first EPC equity grant or first Qualifying Equity Closing — whichever is earlier.</w:t>
      </w:r>
    </w:p>
    <w:p>
      <w:pPr>
        <w:jc w:val="both"/>
      </w:pPr>
      <w:r>
        <w:rPr>
          <w:rFonts w:ascii="Calibri" w:hAnsi="Calibri"/>
          <w:b w:val="0"/>
          <w:i w:val="0"/>
          <w:color w:val="000000"/>
          <w:sz w:val="20"/>
        </w:rPr>
        <w:t>Separate from: Moi Ostrov commission deed (30% Net Margin on EPC operations). Different economic bases.</w:t>
      </w:r>
    </w:p>
    <w:p>
      <w:pPr>
        <w:spacing w:before="240"/>
      </w:pPr>
      <w:r>
        <w:rPr>
          <w:rFonts w:ascii="Calibri" w:hAnsi="Calibri"/>
          <w:b/>
          <w:i w:val="0"/>
          <w:color w:val="C9A432"/>
          <w:sz w:val="24"/>
        </w:rPr>
        <w:t>Recitals (counsel to adapt — contribution narrative)</w:t>
      </w:r>
    </w:p>
    <w:p>
      <w:pPr>
        <w:jc w:val="both"/>
      </w:pPr>
      <w:r>
        <w:rPr>
          <w:rFonts w:ascii="Calibri" w:hAnsi="Calibri"/>
          <w:b w:val="0"/>
          <w:i w:val="0"/>
          <w:color w:val="000000"/>
          <w:sz w:val="20"/>
        </w:rPr>
        <w:t>WHEREAS:</w:t>
      </w:r>
    </w:p>
    <w:p>
      <w:pPr>
        <w:jc w:val="both"/>
      </w:pPr>
      <w:r>
        <w:rPr>
          <w:rFonts w:ascii="Calibri" w:hAnsi="Calibri"/>
          <w:b w:val="0"/>
          <w:i w:val="0"/>
          <w:color w:val="000000"/>
          <w:sz w:val="20"/>
        </w:rPr>
        <w:t>(a) The MD has originated and manages the Company’s Cyprus BESS pipeline (including Galascope, Esperia, and the wider portfolio), such that execution of major EPC contracts is predominantly attributable to MD-led origination and delivery;</w:t>
      </w:r>
    </w:p>
    <w:p>
      <w:pPr>
        <w:jc w:val="both"/>
      </w:pPr>
      <w:r>
        <w:rPr>
          <w:rFonts w:ascii="Calibri" w:hAnsi="Calibri"/>
          <w:b w:val="0"/>
          <w:i w:val="0"/>
          <w:color w:val="000000"/>
          <w:sz w:val="20"/>
        </w:rPr>
        <w:t>(b) The Founder, through Lighthief International Ltd, has provided initial shareholder support and holds 100% of the Company prior to any MD equity grants or Qualifying Equity Closing;</w:t>
      </w:r>
    </w:p>
    <w:p>
      <w:pPr>
        <w:jc w:val="both"/>
      </w:pPr>
      <w:r>
        <w:rPr>
          <w:rFonts w:ascii="Calibri" w:hAnsi="Calibri"/>
          <w:b w:val="0"/>
          <w:i w:val="0"/>
          <w:color w:val="000000"/>
          <w:sz w:val="20"/>
        </w:rPr>
        <w:t>(c) The Founder has indicated that, on signing key EPC contracts, the MD shall receive at least 10% equity alignment per major client execution, and the Parties wish to record 10% on Galascope EPC and 10% on Esperia EPC, subject to the Investor Path Cap in Clause 4;</w:t>
      </w:r>
    </w:p>
    <w:p>
      <w:pPr>
        <w:jc w:val="both"/>
      </w:pPr>
      <w:r>
        <w:rPr>
          <w:rFonts w:ascii="Calibri" w:hAnsi="Calibri"/>
          <w:b w:val="0"/>
          <w:i w:val="0"/>
          <w:color w:val="000000"/>
          <w:sz w:val="20"/>
        </w:rPr>
        <w:t>(d) The Parties may also admit a Third Party Investor; in that case MD shall receive 30% of Gross Subscription Amount as a participation fee, while MD equity shall not exceed 15% in aggregate;</w:t>
      </w:r>
    </w:p>
    <w:p>
      <w:pPr>
        <w:jc w:val="both"/>
      </w:pPr>
      <w:r>
        <w:rPr>
          <w:rFonts w:ascii="Calibri" w:hAnsi="Calibri"/>
          <w:b w:val="0"/>
          <w:i w:val="0"/>
          <w:color w:val="000000"/>
          <w:sz w:val="20"/>
        </w:rPr>
        <w:t>(e) This Side Letter is entered into alongside the Moi Ostrov Consultancy Agreement, which governs operating margin only.</w:t>
      </w:r>
    </w:p>
    <w:p>
      <w:pPr>
        <w:spacing w:before="240"/>
      </w:pPr>
      <w:r>
        <w:rPr>
          <w:rFonts w:ascii="Calibri" w:hAnsi="Calibri"/>
          <w:b/>
          <w:i w:val="0"/>
          <w:color w:val="C9A432"/>
          <w:sz w:val="24"/>
        </w:rPr>
        <w:t>1. Definitions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Term</w:t>
            </w:r>
          </w:p>
        </w:tc>
        <w:tc>
          <w:tcPr>
            <w:tcW w:type="dxa" w:w="4703"/>
            <w:shd w:fill="1A365D" w:val="clear"/>
          </w:tcPr>
          <w:p>
            <w:r/>
            <w:r>
              <w:rPr>
                <w:rFonts w:ascii="Calibri" w:hAnsi="Calibri"/>
                <w:b/>
                <w:i w:val="0"/>
                <w:color w:val="FFFFFF"/>
                <w:sz w:val="18"/>
              </w:rPr>
              <w:t>Meaning</w:t>
            </w:r>
          </w:p>
        </w:tc>
      </w:tr>
      <w:tr>
        <w:tc>
          <w:tcPr>
            <w:tcW w:type="dxa" w:w="4703"/>
          </w:tcPr>
          <w:p>
            <w:r/>
            <w:r>
              <w:rPr>
                <w:rFonts w:ascii="Calibri" w:hAnsi="Calibri"/>
                <w:b w:val="0"/>
                <w:i w:val="0"/>
                <w:color w:val="000000"/>
                <w:sz w:val="18"/>
              </w:rPr>
              <w:t>Galascope EPC Effective Date</w:t>
            </w:r>
          </w:p>
        </w:tc>
        <w:tc>
          <w:tcPr>
            <w:tcW w:type="dxa" w:w="4703"/>
          </w:tcPr>
          <w:p>
            <w:r/>
            <w:r>
              <w:rPr>
                <w:rFonts w:ascii="Calibri" w:hAnsi="Calibri"/>
                <w:b w:val="0"/>
                <w:i w:val="0"/>
                <w:color w:val="000000"/>
                <w:sz w:val="18"/>
              </w:rPr>
              <w:t>The date on which the Galascope Ltd BESS EPC contract (ref LCY-EPC-GAL-B1-2026 or successor) is signed and stamped by both the Company and Galascope Ltd.</w:t>
            </w:r>
          </w:p>
        </w:tc>
      </w:tr>
      <w:tr>
        <w:tc>
          <w:tcPr>
            <w:tcW w:type="dxa" w:w="4703"/>
          </w:tcPr>
          <w:p>
            <w:r/>
            <w:r>
              <w:rPr>
                <w:rFonts w:ascii="Calibri" w:hAnsi="Calibri"/>
                <w:b w:val="0"/>
                <w:i w:val="0"/>
                <w:color w:val="000000"/>
                <w:sz w:val="18"/>
              </w:rPr>
              <w:t>Esperia EPC Effective Date</w:t>
            </w:r>
          </w:p>
        </w:tc>
        <w:tc>
          <w:tcPr>
            <w:tcW w:type="dxa" w:w="4703"/>
          </w:tcPr>
          <w:p>
            <w:r/>
            <w:r>
              <w:rPr>
                <w:rFonts w:ascii="Calibri" w:hAnsi="Calibri"/>
                <w:b w:val="0"/>
                <w:i w:val="0"/>
                <w:color w:val="000000"/>
                <w:sz w:val="18"/>
              </w:rPr>
              <w:t>The date on which the Esperia Energy / pipeline BESS EPC contract between the Company and Esperia Energy (or designated Esperia SPV) (ref LCY-EPC-ESP-2026 or successor) is signed and stamped by both the Company and the Esperia counterparty.</w:t>
            </w:r>
          </w:p>
        </w:tc>
      </w:tr>
      <w:tr>
        <w:tc>
          <w:tcPr>
            <w:tcW w:type="dxa" w:w="4703"/>
          </w:tcPr>
          <w:p>
            <w:r/>
            <w:r>
              <w:rPr>
                <w:rFonts w:ascii="Calibri" w:hAnsi="Calibri"/>
                <w:b w:val="0"/>
                <w:i w:val="0"/>
                <w:color w:val="000000"/>
                <w:sz w:val="18"/>
              </w:rPr>
              <w:t>EPC Milestone Grant A</w:t>
            </w:r>
          </w:p>
        </w:tc>
        <w:tc>
          <w:tcPr>
            <w:tcW w:type="dxa" w:w="4703"/>
          </w:tcPr>
          <w:p>
            <w:r/>
            <w:r>
              <w:rPr>
                <w:rFonts w:ascii="Calibri" w:hAnsi="Calibri"/>
                <w:b w:val="0"/>
                <w:i w:val="0"/>
                <w:color w:val="000000"/>
                <w:sz w:val="18"/>
              </w:rPr>
              <w:t>Allotment or transfer of ordinary shares equal to 10% of fully diluted share capital to MD (or MD Nominee) within 30 days after Galascope EPC Effective Date.</w:t>
            </w:r>
          </w:p>
        </w:tc>
      </w:tr>
      <w:tr>
        <w:tc>
          <w:tcPr>
            <w:tcW w:type="dxa" w:w="4703"/>
          </w:tcPr>
          <w:p>
            <w:r/>
            <w:r>
              <w:rPr>
                <w:rFonts w:ascii="Calibri" w:hAnsi="Calibri"/>
                <w:b w:val="0"/>
                <w:i w:val="0"/>
                <w:color w:val="000000"/>
                <w:sz w:val="18"/>
              </w:rPr>
              <w:t>EPC Milestone Grant B</w:t>
            </w:r>
          </w:p>
        </w:tc>
        <w:tc>
          <w:tcPr>
            <w:tcW w:type="dxa" w:w="4703"/>
          </w:tcPr>
          <w:p>
            <w:r/>
            <w:r>
              <w:rPr>
                <w:rFonts w:ascii="Calibri" w:hAnsi="Calibri"/>
                <w:b w:val="0"/>
                <w:i w:val="0"/>
                <w:color w:val="000000"/>
                <w:sz w:val="18"/>
              </w:rPr>
              <w:t>Allotment or transfer of ordinary shares equal to 10% of fully diluted share capital to MD (or MD Nominee) within 30 days after Esperia EPC Effective Date, subject to Clause 4.</w:t>
            </w:r>
          </w:p>
        </w:tc>
      </w:tr>
      <w:tr>
        <w:tc>
          <w:tcPr>
            <w:tcW w:type="dxa" w:w="4703"/>
          </w:tcPr>
          <w:p>
            <w:r/>
            <w:r>
              <w:rPr>
                <w:rFonts w:ascii="Calibri" w:hAnsi="Calibri"/>
                <w:b w:val="0"/>
                <w:i w:val="0"/>
                <w:color w:val="000000"/>
                <w:sz w:val="18"/>
              </w:rPr>
              <w:t>Maximum EPC Path Equity</w:t>
            </w:r>
          </w:p>
        </w:tc>
        <w:tc>
          <w:tcPr>
            <w:tcW w:type="dxa" w:w="4703"/>
          </w:tcPr>
          <w:p>
            <w:r/>
            <w:r>
              <w:rPr>
                <w:rFonts w:ascii="Calibri" w:hAnsi="Calibri"/>
                <w:b w:val="0"/>
                <w:i w:val="0"/>
                <w:color w:val="000000"/>
                <w:sz w:val="18"/>
              </w:rPr>
              <w:t>20% — the sum of EPC Milestone Grant A and B if both EPCs execute and no Investor Path Cap applies.</w:t>
            </w:r>
          </w:p>
        </w:tc>
      </w:tr>
      <w:tr>
        <w:tc>
          <w:tcPr>
            <w:tcW w:type="dxa" w:w="4703"/>
          </w:tcPr>
          <w:p>
            <w:r/>
            <w:r>
              <w:rPr>
                <w:rFonts w:ascii="Calibri" w:hAnsi="Calibri"/>
                <w:b w:val="0"/>
                <w:i w:val="0"/>
                <w:color w:val="000000"/>
                <w:sz w:val="18"/>
              </w:rPr>
              <w:t>Qualifying Equity Closing</w:t>
            </w:r>
          </w:p>
        </w:tc>
        <w:tc>
          <w:tcPr>
            <w:tcW w:type="dxa" w:w="4703"/>
          </w:tcPr>
          <w:p>
            <w:r/>
            <w:r>
              <w:rPr>
                <w:rFonts w:ascii="Calibri" w:hAnsi="Calibri"/>
                <w:b w:val="0"/>
                <w:i w:val="0"/>
                <w:color w:val="000000"/>
                <w:sz w:val="18"/>
              </w:rPr>
              <w:t>Completion of a bona fide subscription or transfer of ordinary shares to a Third Party Investor (not MD, not Founder, not any Group company) against payment of cash subscription moneys to the Company, pursuant to executed subscription / SHA documents.</w:t>
            </w:r>
          </w:p>
        </w:tc>
      </w:tr>
      <w:tr>
        <w:tc>
          <w:tcPr>
            <w:tcW w:type="dxa" w:w="4703"/>
          </w:tcPr>
          <w:p>
            <w:r/>
            <w:r>
              <w:rPr>
                <w:rFonts w:ascii="Calibri" w:hAnsi="Calibri"/>
                <w:b w:val="0"/>
                <w:i w:val="0"/>
                <w:color w:val="000000"/>
                <w:sz w:val="18"/>
              </w:rPr>
              <w:t>Gross Subscription Amount</w:t>
            </w:r>
          </w:p>
        </w:tc>
        <w:tc>
          <w:tcPr>
            <w:tcW w:type="dxa" w:w="4703"/>
          </w:tcPr>
          <w:p>
            <w:r/>
            <w:r>
              <w:rPr>
                <w:rFonts w:ascii="Calibri" w:hAnsi="Calibri"/>
                <w:b w:val="0"/>
                <w:i w:val="0"/>
                <w:color w:val="000000"/>
                <w:sz w:val="18"/>
              </w:rPr>
              <w:t>Total cash received by the Company from the Third Party Investor in respect of that Qualifying Equity Closing (excluding expense reimbursements).</w:t>
            </w:r>
          </w:p>
        </w:tc>
      </w:tr>
      <w:tr>
        <w:tc>
          <w:tcPr>
            <w:tcW w:type="dxa" w:w="4703"/>
          </w:tcPr>
          <w:p>
            <w:r/>
            <w:r>
              <w:rPr>
                <w:rFonts w:ascii="Calibri" w:hAnsi="Calibri"/>
                <w:b w:val="0"/>
                <w:i w:val="0"/>
                <w:color w:val="000000"/>
                <w:sz w:val="18"/>
              </w:rPr>
              <w:t>Share Sale Participation Fee</w:t>
            </w:r>
          </w:p>
        </w:tc>
        <w:tc>
          <w:tcPr>
            <w:tcW w:type="dxa" w:w="4703"/>
          </w:tcPr>
          <w:p>
            <w:r/>
            <w:r>
              <w:rPr>
                <w:rFonts w:ascii="Calibri" w:hAnsi="Calibri"/>
                <w:b w:val="0"/>
                <w:i w:val="0"/>
                <w:color w:val="000000"/>
                <w:sz w:val="18"/>
              </w:rPr>
              <w:t>30% of the Gross Subscription Amount for each Qualifying Equity Closing.</w:t>
            </w:r>
          </w:p>
        </w:tc>
      </w:tr>
      <w:tr>
        <w:tc>
          <w:tcPr>
            <w:tcW w:type="dxa" w:w="4703"/>
          </w:tcPr>
          <w:p>
            <w:r/>
            <w:r>
              <w:rPr>
                <w:rFonts w:ascii="Calibri" w:hAnsi="Calibri"/>
                <w:b w:val="0"/>
                <w:i w:val="0"/>
                <w:color w:val="000000"/>
                <w:sz w:val="18"/>
              </w:rPr>
              <w:t>Investor Path Cap</w:t>
            </w:r>
          </w:p>
        </w:tc>
        <w:tc>
          <w:tcPr>
            <w:tcW w:type="dxa" w:w="4703"/>
          </w:tcPr>
          <w:p>
            <w:r/>
            <w:r>
              <w:rPr>
                <w:rFonts w:ascii="Calibri" w:hAnsi="Calibri"/>
                <w:b w:val="0"/>
                <w:i w:val="0"/>
                <w:color w:val="000000"/>
                <w:sz w:val="18"/>
              </w:rPr>
              <w:t>15% — maximum aggregate MD equity (fully diluted) at any time after the first Qualifying Equity Closing.</w:t>
            </w:r>
          </w:p>
        </w:tc>
      </w:tr>
      <w:tr>
        <w:tc>
          <w:tcPr>
            <w:tcW w:type="dxa" w:w="4703"/>
          </w:tcPr>
          <w:p>
            <w:r/>
            <w:r>
              <w:rPr>
                <w:rFonts w:ascii="Calibri" w:hAnsi="Calibri"/>
                <w:b w:val="0"/>
                <w:i w:val="0"/>
                <w:color w:val="000000"/>
                <w:sz w:val="18"/>
              </w:rPr>
              <w:t>MD Equity Percentage</w:t>
            </w:r>
          </w:p>
        </w:tc>
        <w:tc>
          <w:tcPr>
            <w:tcW w:type="dxa" w:w="4703"/>
          </w:tcPr>
          <w:p>
            <w:r/>
            <w:r>
              <w:rPr>
                <w:rFonts w:ascii="Calibri" w:hAnsi="Calibri"/>
                <w:b w:val="0"/>
                <w:i w:val="0"/>
                <w:color w:val="000000"/>
                <w:sz w:val="18"/>
              </w:rPr>
              <w:t>MD’s (and MD Nominee’s) combined holding as a percentage of fully diluted ordinary share capital.</w:t>
            </w:r>
          </w:p>
        </w:tc>
      </w:tr>
      <w:tr>
        <w:tc>
          <w:tcPr>
            <w:tcW w:type="dxa" w:w="4703"/>
          </w:tcPr>
          <w:p>
            <w:r/>
            <w:r>
              <w:rPr>
                <w:rFonts w:ascii="Calibri" w:hAnsi="Calibri"/>
                <w:b w:val="0"/>
                <w:i w:val="0"/>
                <w:color w:val="000000"/>
                <w:sz w:val="18"/>
              </w:rPr>
              <w:t>Group</w:t>
            </w:r>
          </w:p>
        </w:tc>
        <w:tc>
          <w:tcPr>
            <w:tcW w:type="dxa" w:w="4703"/>
          </w:tcPr>
          <w:p>
            <w:r/>
            <w:r>
              <w:rPr>
                <w:rFonts w:ascii="Calibri" w:hAnsi="Calibri"/>
                <w:b w:val="0"/>
                <w:i w:val="0"/>
                <w:color w:val="000000"/>
                <w:sz w:val="18"/>
              </w:rPr>
              <w:t>Lighthief International Ltd and any entity Sybaris Controls (&gt;50% vote or UBO).</w:t>
            </w:r>
          </w:p>
        </w:tc>
      </w:tr>
    </w:tbl>
    <w:p/>
    <w:p>
      <w:pPr>
        <w:spacing w:before="240"/>
      </w:pPr>
      <w:r>
        <w:rPr>
          <w:rFonts w:ascii="Calibri" w:hAnsi="Calibri"/>
          <w:b/>
          <w:i w:val="0"/>
          <w:color w:val="C9A432"/>
          <w:sz w:val="24"/>
        </w:rPr>
        <w:t>2. EPC Milestone Equity (10% + 10%)</w:t>
      </w:r>
    </w:p>
    <w:p>
      <w:pPr>
        <w:jc w:val="both"/>
      </w:pPr>
      <w:r>
        <w:rPr>
          <w:rFonts w:ascii="Calibri" w:hAnsi="Calibri"/>
          <w:b w:val="0"/>
          <w:i w:val="0"/>
          <w:color w:val="000000"/>
          <w:sz w:val="20"/>
        </w:rPr>
        <w:t>2.1 Galascope — 10%. On Galascope EPC Effective Date, Founder shall cause EPC Milestone Grant A ( 10% ) to be issued or transferred to MD (or MD Nominee) within 30 calendar days.</w:t>
      </w:r>
    </w:p>
    <w:p>
      <w:pPr>
        <w:jc w:val="both"/>
      </w:pPr>
      <w:r>
        <w:rPr>
          <w:rFonts w:ascii="Calibri" w:hAnsi="Calibri"/>
          <w:b w:val="0"/>
          <w:i w:val="0"/>
          <w:color w:val="000000"/>
          <w:sz w:val="20"/>
        </w:rPr>
        <w:t>2.2 Esperia — 10%. On Esperia EPC Effective Date, Founder shall cause EPC Milestone Grant B ( 10% ) to be issued or transferred to MD within 30 calendar days, unless Clause 4 prevents the full second tranche.</w:t>
      </w:r>
    </w:p>
    <w:p>
      <w:pPr>
        <w:jc w:val="both"/>
      </w:pPr>
      <w:r>
        <w:rPr>
          <w:rFonts w:ascii="Calibri" w:hAnsi="Calibri"/>
          <w:b w:val="0"/>
          <w:i w:val="0"/>
          <w:color w:val="000000"/>
          <w:sz w:val="20"/>
        </w:rPr>
        <w:t>2.3 Consideration. Nominal / nil subscription or set-off against documented MD amounts — as tax counsel advises.</w:t>
      </w:r>
    </w:p>
    <w:p>
      <w:pPr>
        <w:jc w:val="both"/>
      </w:pPr>
      <w:r>
        <w:rPr>
          <w:rFonts w:ascii="Calibri" w:hAnsi="Calibri"/>
          <w:b w:val="0"/>
          <w:i w:val="0"/>
          <w:color w:val="000000"/>
          <w:sz w:val="20"/>
        </w:rPr>
        <w:t>2.4 Grantor. Lighthief International Ltd (transfer) or Company (capital increase) — counsel to choose.</w:t>
      </w:r>
    </w:p>
    <w:p>
      <w:pPr>
        <w:jc w:val="both"/>
      </w:pPr>
      <w:r>
        <w:rPr>
          <w:rFonts w:ascii="Calibri" w:hAnsi="Calibri"/>
          <w:b w:val="0"/>
          <w:i w:val="0"/>
          <w:color w:val="000000"/>
          <w:sz w:val="20"/>
        </w:rPr>
        <w:t>2.5 No cash fee on EPC grants. EPC milestone equity is not subject to Share Sale Participation Fee.</w:t>
      </w:r>
    </w:p>
    <w:p>
      <w:pPr>
        <w:jc w:val="both"/>
      </w:pPr>
      <w:r>
        <w:rPr>
          <w:rFonts w:ascii="Calibri" w:hAnsi="Calibri"/>
          <w:b w:val="0"/>
          <w:i w:val="0"/>
          <w:color w:val="000000"/>
          <w:sz w:val="20"/>
        </w:rPr>
        <w:t>2.6 Employment cross-ref. Galascope EPC Effective Date also triggers €5,000 gross monthly salary under LCY-EMP-AP-2026-001.</w:t>
      </w:r>
    </w:p>
    <w:p>
      <w:pPr>
        <w:jc w:val="both"/>
      </w:pPr>
      <w:r>
        <w:rPr>
          <w:rFonts w:ascii="Calibri" w:hAnsi="Calibri"/>
          <w:b w:val="0"/>
          <w:i w:val="0"/>
          <w:color w:val="000000"/>
          <w:sz w:val="20"/>
        </w:rPr>
        <w:t>2.7 Order of operations. Esperia EPC may execute before or after Galascope EPC; each tranche is independent except for the Investor Path Cap in Clause 4.</w:t>
      </w:r>
    </w:p>
    <w:p>
      <w:pPr>
        <w:spacing w:before="240"/>
      </w:pPr>
      <w:r>
        <w:rPr>
          <w:rFonts w:ascii="Calibri" w:hAnsi="Calibri"/>
          <w:b/>
          <w:i w:val="0"/>
          <w:color w:val="C9A432"/>
          <w:sz w:val="24"/>
        </w:rPr>
        <w:t>3. Share Sale Participation Fee (30% — investor cash)</w:t>
      </w:r>
    </w:p>
    <w:p>
      <w:pPr>
        <w:jc w:val="both"/>
      </w:pPr>
      <w:r>
        <w:rPr>
          <w:rFonts w:ascii="Calibri" w:hAnsi="Calibri"/>
          <w:b w:val="0"/>
          <w:i w:val="0"/>
          <w:color w:val="000000"/>
          <w:sz w:val="20"/>
        </w:rPr>
        <w:t>3.1 Amount. On each Qualifying Equity Closing, Founder shall pay (or cause to be paid) to MD (or MD Nominee) the Share Sale Participation Fee equal to 30% of the Gross Subscription Amount.</w:t>
      </w:r>
    </w:p>
    <w:p>
      <w:pPr>
        <w:jc w:val="both"/>
      </w:pPr>
      <w:r>
        <w:rPr>
          <w:rFonts w:ascii="Calibri" w:hAnsi="Calibri"/>
          <w:b w:val="0"/>
          <w:i w:val="0"/>
          <w:color w:val="000000"/>
          <w:sz w:val="20"/>
        </w:rPr>
        <w:t>3.2 Timing. Within 14 calendar days after the Company’s receipt of the Gross Subscription Amount.</w:t>
      </w:r>
    </w:p>
    <w:p>
      <w:pPr>
        <w:jc w:val="both"/>
      </w:pPr>
      <w:r>
        <w:rPr>
          <w:rFonts w:ascii="Calibri" w:hAnsi="Calibri"/>
          <w:b w:val="0"/>
          <w:i w:val="0"/>
          <w:color w:val="000000"/>
          <w:sz w:val="20"/>
        </w:rPr>
        <w:t>3.3 Payor. Primary obligor is Founder / Lighthief International Ltd, not Company project working capital. If payment is routed via the Company, it must be pre-disclosed in the investor term sheet.</w:t>
      </w:r>
    </w:p>
    <w:p>
      <w:pPr>
        <w:jc w:val="both"/>
      </w:pPr>
      <w:r>
        <w:rPr>
          <w:rFonts w:ascii="Calibri" w:hAnsi="Calibri"/>
          <w:b w:val="0"/>
          <w:i w:val="0"/>
          <w:color w:val="000000"/>
          <w:sz w:val="20"/>
        </w:rPr>
        <w:t>3.4 No duplication. Fee applies only to Gross Subscription Amount — not Net Margin, EPC revenue, or client milestones (Moi Ostrov deed governs margin).</w:t>
      </w:r>
    </w:p>
    <w:p>
      <w:pPr>
        <w:jc w:val="both"/>
      </w:pPr>
      <w:r>
        <w:rPr>
          <w:rFonts w:ascii="Calibri" w:hAnsi="Calibri"/>
          <w:b w:val="0"/>
          <w:i w:val="0"/>
          <w:color w:val="000000"/>
          <w:sz w:val="20"/>
        </w:rPr>
        <w:t>3.5 Partial tranches. Each tranche is a separate closing (e.g. €500,000 for 12.5% → €150,000 fee).</w:t>
      </w:r>
    </w:p>
    <w:p>
      <w:pPr>
        <w:jc w:val="both"/>
      </w:pPr>
      <w:r>
        <w:rPr>
          <w:rFonts w:ascii="Calibri" w:hAnsi="Calibri"/>
          <w:b w:val="0"/>
          <w:i w:val="0"/>
          <w:color w:val="000000"/>
          <w:sz w:val="20"/>
        </w:rPr>
        <w:t>3.6 Survival. Applies while MD is Managing Director, or within 12 months after Good Reason cessation.</w:t>
      </w:r>
    </w:p>
    <w:p>
      <w:pPr>
        <w:spacing w:before="240"/>
      </w:pPr>
      <w:r>
        <w:rPr>
          <w:rFonts w:ascii="Calibri" w:hAnsi="Calibri"/>
          <w:b/>
          <w:i w:val="0"/>
          <w:color w:val="C9A432"/>
          <w:sz w:val="24"/>
        </w:rPr>
        <w:t>4. Investor Path Cap (15% total equity)</w:t>
      </w:r>
    </w:p>
    <w:p>
      <w:pPr>
        <w:jc w:val="both"/>
      </w:pPr>
      <w:r>
        <w:rPr>
          <w:rFonts w:ascii="Calibri" w:hAnsi="Calibri"/>
          <w:b w:val="0"/>
          <w:i w:val="0"/>
          <w:color w:val="000000"/>
          <w:sz w:val="20"/>
        </w:rPr>
        <w:t>4.1 Cap. If any Qualifying Equity Closing occurs, MD Equity Percentage shall not exceed 15% at any time thereafter.</w:t>
      </w:r>
    </w:p>
    <w:p>
      <w:pPr>
        <w:jc w:val="both"/>
      </w:pPr>
      <w:r>
        <w:rPr>
          <w:rFonts w:ascii="Calibri" w:hAnsi="Calibri"/>
          <w:b w:val="0"/>
          <w:i w:val="0"/>
          <w:color w:val="000000"/>
          <w:sz w:val="20"/>
        </w:rPr>
        <w:t>4.2 EPC grants count toward cap. Any shares already issued under Clause 2 (EPC Milestone Grant A and/or B) count fully toward the 15% cap.</w:t>
      </w:r>
    </w:p>
    <w:p>
      <w:pPr>
        <w:jc w:val="both"/>
      </w:pPr>
      <w:r>
        <w:rPr>
          <w:rFonts w:ascii="Calibri" w:hAnsi="Calibri"/>
          <w:b/>
          <w:i w:val="0"/>
          <w:color w:val="000000"/>
          <w:sz w:val="20"/>
        </w:rPr>
        <w:t>4.3 Second EPC tranche when investor precedes or overlaps Esperia signing.</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MD equity already held</w:t>
            </w:r>
          </w:p>
        </w:tc>
        <w:tc>
          <w:tcPr>
            <w:tcW w:type="dxa" w:w="3135"/>
            <w:shd w:fill="1A365D" w:val="clear"/>
          </w:tcPr>
          <w:p>
            <w:r/>
            <w:r>
              <w:rPr>
                <w:rFonts w:ascii="Calibri" w:hAnsi="Calibri"/>
                <w:b/>
                <w:i w:val="0"/>
                <w:color w:val="FFFFFF"/>
                <w:sz w:val="18"/>
              </w:rPr>
              <w:t>Investor closed?</w:t>
            </w:r>
          </w:p>
        </w:tc>
        <w:tc>
          <w:tcPr>
            <w:tcW w:type="dxa" w:w="3135"/>
            <w:shd w:fill="1A365D" w:val="clear"/>
          </w:tcPr>
          <w:p>
            <w:r/>
            <w:r>
              <w:rPr>
                <w:rFonts w:ascii="Calibri" w:hAnsi="Calibri"/>
                <w:b/>
                <w:i w:val="0"/>
                <w:color w:val="FFFFFF"/>
                <w:sz w:val="18"/>
              </w:rPr>
              <w:t>Maximum additional equity to MD</w:t>
            </w:r>
          </w:p>
        </w:tc>
      </w:tr>
      <w:tr>
        <w:tc>
          <w:tcPr>
            <w:tcW w:type="dxa" w:w="3135"/>
          </w:tcPr>
          <w:p>
            <w:r/>
            <w:r>
              <w:rPr>
                <w:rFonts w:ascii="Calibri" w:hAnsi="Calibri"/>
                <w:b w:val="0"/>
                <w:i w:val="0"/>
                <w:color w:val="000000"/>
                <w:sz w:val="18"/>
              </w:rPr>
              <w:t>0%</w:t>
            </w:r>
          </w:p>
        </w:tc>
        <w:tc>
          <w:tcPr>
            <w:tcW w:type="dxa" w:w="3135"/>
          </w:tcPr>
          <w:p>
            <w:r/>
            <w:r>
              <w:rPr>
                <w:rFonts w:ascii="Calibri" w:hAnsi="Calibri"/>
                <w:b w:val="0"/>
                <w:i w:val="0"/>
                <w:color w:val="000000"/>
                <w:sz w:val="18"/>
              </w:rPr>
              <w:t>Yes (before any EPC grant)</w:t>
            </w:r>
          </w:p>
        </w:tc>
        <w:tc>
          <w:tcPr>
            <w:tcW w:type="dxa" w:w="3135"/>
          </w:tcPr>
          <w:p>
            <w:r/>
            <w:r>
              <w:rPr>
                <w:rFonts w:ascii="Calibri" w:hAnsi="Calibri"/>
                <w:b w:val="0"/>
                <w:i w:val="0"/>
                <w:color w:val="000000"/>
                <w:sz w:val="18"/>
              </w:rPr>
              <w:t>Up to 15% total (structure as counsel advises — may combine EPC + investor mechanics)</w:t>
            </w:r>
          </w:p>
        </w:tc>
      </w:tr>
      <w:tr>
        <w:tc>
          <w:tcPr>
            <w:tcW w:type="dxa" w:w="3135"/>
          </w:tcPr>
          <w:p>
            <w:r/>
            <w:r>
              <w:rPr>
                <w:rFonts w:ascii="Calibri" w:hAnsi="Calibri"/>
                <w:b w:val="0"/>
                <w:i w:val="0"/>
                <w:color w:val="000000"/>
                <w:sz w:val="18"/>
              </w:rPr>
              <w:t>10% (Galascope only)</w:t>
            </w:r>
          </w:p>
        </w:tc>
        <w:tc>
          <w:tcPr>
            <w:tcW w:type="dxa" w:w="3135"/>
          </w:tcPr>
          <w:p>
            <w:r/>
            <w:r>
              <w:rPr>
                <w:rFonts w:ascii="Calibri" w:hAnsi="Calibri"/>
                <w:b w:val="0"/>
                <w:i w:val="0"/>
                <w:color w:val="000000"/>
                <w:sz w:val="18"/>
              </w:rPr>
              <w:t>Yes</w:t>
            </w:r>
          </w:p>
        </w:tc>
        <w:tc>
          <w:tcPr>
            <w:tcW w:type="dxa" w:w="3135"/>
          </w:tcPr>
          <w:p>
            <w:r/>
            <w:r>
              <w:rPr>
                <w:rFonts w:ascii="Calibri" w:hAnsi="Calibri"/>
                <w:b w:val="0"/>
                <w:i w:val="0"/>
                <w:color w:val="000000"/>
                <w:sz w:val="18"/>
              </w:rPr>
              <w:t>Up to 5% further equity only (not full second 10% if that would exceed 15%)</w:t>
            </w:r>
          </w:p>
        </w:tc>
      </w:tr>
      <w:tr>
        <w:tc>
          <w:tcPr>
            <w:tcW w:type="dxa" w:w="3135"/>
          </w:tcPr>
          <w:p>
            <w:r/>
            <w:r>
              <w:rPr>
                <w:rFonts w:ascii="Calibri" w:hAnsi="Calibri"/>
                <w:b w:val="0"/>
                <w:i w:val="0"/>
                <w:color w:val="000000"/>
                <w:sz w:val="18"/>
              </w:rPr>
              <w:t>10%</w:t>
            </w:r>
          </w:p>
        </w:tc>
        <w:tc>
          <w:tcPr>
            <w:tcW w:type="dxa" w:w="3135"/>
          </w:tcPr>
          <w:p>
            <w:r/>
            <w:r>
              <w:rPr>
                <w:rFonts w:ascii="Calibri" w:hAnsi="Calibri"/>
                <w:b w:val="0"/>
                <w:i w:val="0"/>
                <w:color w:val="000000"/>
                <w:sz w:val="18"/>
              </w:rPr>
              <w:t>No</w:t>
            </w:r>
          </w:p>
        </w:tc>
        <w:tc>
          <w:tcPr>
            <w:tcW w:type="dxa" w:w="3135"/>
          </w:tcPr>
          <w:p>
            <w:r/>
            <w:r>
              <w:rPr>
                <w:rFonts w:ascii="Calibri" w:hAnsi="Calibri"/>
                <w:b w:val="0"/>
                <w:i w:val="0"/>
                <w:color w:val="000000"/>
                <w:sz w:val="18"/>
              </w:rPr>
              <w:t>Entitled to full EPC Milestone Grant B (10%) → 20% total</w:t>
            </w:r>
          </w:p>
        </w:tc>
      </w:tr>
      <w:tr>
        <w:tc>
          <w:tcPr>
            <w:tcW w:type="dxa" w:w="3135"/>
          </w:tcPr>
          <w:p>
            <w:r/>
            <w:r>
              <w:rPr>
                <w:rFonts w:ascii="Calibri" w:hAnsi="Calibri"/>
                <w:b w:val="0"/>
                <w:i w:val="0"/>
                <w:color w:val="000000"/>
                <w:sz w:val="18"/>
              </w:rPr>
              <w:t>20% (both EPCs)</w:t>
            </w:r>
          </w:p>
        </w:tc>
        <w:tc>
          <w:tcPr>
            <w:tcW w:type="dxa" w:w="3135"/>
          </w:tcPr>
          <w:p>
            <w:r/>
            <w:r>
              <w:rPr>
                <w:rFonts w:ascii="Calibri" w:hAnsi="Calibri"/>
                <w:b w:val="0"/>
                <w:i w:val="0"/>
                <w:color w:val="000000"/>
                <w:sz w:val="18"/>
              </w:rPr>
              <w:t>Yes later</w:t>
            </w:r>
          </w:p>
        </w:tc>
        <w:tc>
          <w:tcPr>
            <w:tcW w:type="dxa" w:w="3135"/>
          </w:tcPr>
          <w:p>
            <w:r/>
            <w:r>
              <w:rPr>
                <w:rFonts w:ascii="Calibri" w:hAnsi="Calibri"/>
                <w:b w:val="0"/>
                <w:i w:val="0"/>
                <w:color w:val="000000"/>
                <w:sz w:val="18"/>
              </w:rPr>
              <w:t>No further equity to MD; fee only on subscription cash</w:t>
            </w:r>
          </w:p>
        </w:tc>
      </w:tr>
    </w:tbl>
    <w:p/>
    <w:p>
      <w:pPr>
        <w:jc w:val="both"/>
      </w:pPr>
      <w:r>
        <w:rPr>
          <w:rFonts w:ascii="Calibri" w:hAnsi="Calibri"/>
          <w:b w:val="0"/>
          <w:i w:val="0"/>
          <w:color w:val="000000"/>
          <w:sz w:val="20"/>
        </w:rPr>
        <w:t>4.4 No “25% minus sold” pool. The Parties replace any prior discussion of a 25% equity pool or unsold-pool fallback with this EPC milestone + investor cap structure.</w:t>
      </w:r>
    </w:p>
    <w:p>
      <w:pPr>
        <w:jc w:val="both"/>
      </w:pPr>
      <w:r>
        <w:rPr>
          <w:rFonts w:ascii="Calibri" w:hAnsi="Calibri"/>
          <w:b w:val="0"/>
          <w:i w:val="0"/>
          <w:color w:val="000000"/>
          <w:sz w:val="20"/>
        </w:rPr>
        <w:t>4.5 Fee not reduced by cap. Share Sale Participation Fee is unaffected by the Investor Path Cap (cash on subscription remains 30%).</w:t>
      </w:r>
    </w:p>
    <w:p>
      <w:pPr>
        <w:spacing w:before="240"/>
      </w:pPr>
      <w:r>
        <w:rPr>
          <w:rFonts w:ascii="Calibri" w:hAnsi="Calibri"/>
          <w:b/>
          <w:i w:val="0"/>
          <w:color w:val="C9A432"/>
          <w:sz w:val="24"/>
        </w:rPr>
        <w:t>5. Worked examples (founder proposal)</w:t>
      </w:r>
    </w:p>
    <w:p>
      <w:r>
        <w:rPr>
          <w:rFonts w:ascii="Calibri" w:hAnsi="Calibri"/>
          <w:b/>
          <w:i w:val="0"/>
          <w:color w:val="1A365D"/>
          <w:sz w:val="22"/>
        </w:rPr>
        <w:t>Path A — EPC only (no third-party investor)</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Milestone</w:t>
            </w:r>
          </w:p>
        </w:tc>
        <w:tc>
          <w:tcPr>
            <w:tcW w:type="dxa" w:w="3135"/>
            <w:shd w:fill="1A365D" w:val="clear"/>
          </w:tcPr>
          <w:p>
            <w:r/>
            <w:r>
              <w:rPr>
                <w:rFonts w:ascii="Calibri" w:hAnsi="Calibri"/>
                <w:b/>
                <w:i w:val="0"/>
                <w:color w:val="FFFFFF"/>
                <w:sz w:val="18"/>
              </w:rPr>
              <w:t>MD equity (cumulative)</w:t>
            </w:r>
          </w:p>
        </w:tc>
        <w:tc>
          <w:tcPr>
            <w:tcW w:type="dxa" w:w="3135"/>
            <w:shd w:fill="1A365D" w:val="clear"/>
          </w:tcPr>
          <w:p>
            <w:r/>
            <w:r>
              <w:rPr>
                <w:rFonts w:ascii="Calibri" w:hAnsi="Calibri"/>
                <w:b/>
                <w:i w:val="0"/>
                <w:color w:val="FFFFFF"/>
                <w:sz w:val="18"/>
              </w:rPr>
              <w:t>MD cash</w:t>
            </w:r>
          </w:p>
        </w:tc>
      </w:tr>
      <w:tr>
        <w:tc>
          <w:tcPr>
            <w:tcW w:type="dxa" w:w="3135"/>
          </w:tcPr>
          <w:p>
            <w:r/>
            <w:r>
              <w:rPr>
                <w:rFonts w:ascii="Calibri" w:hAnsi="Calibri"/>
                <w:b w:val="0"/>
                <w:i w:val="0"/>
                <w:color w:val="000000"/>
                <w:sz w:val="18"/>
              </w:rPr>
              <w:t>Galascope EPC signed</w:t>
            </w:r>
          </w:p>
        </w:tc>
        <w:tc>
          <w:tcPr>
            <w:tcW w:type="dxa" w:w="3135"/>
          </w:tcPr>
          <w:p>
            <w:r/>
            <w:r>
              <w:rPr>
                <w:rFonts w:ascii="Calibri" w:hAnsi="Calibri"/>
                <w:b w:val="0"/>
                <w:i w:val="0"/>
                <w:color w:val="000000"/>
                <w:sz w:val="18"/>
              </w:rPr>
              <w:t>10%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Esperia EPC signed</w:t>
            </w:r>
          </w:p>
        </w:tc>
        <w:tc>
          <w:tcPr>
            <w:tcW w:type="dxa" w:w="3135"/>
          </w:tcPr>
          <w:p>
            <w:r/>
            <w:r>
              <w:rPr>
                <w:rFonts w:ascii="Calibri" w:hAnsi="Calibri"/>
                <w:b w:val="0"/>
                <w:i w:val="0"/>
                <w:color w:val="000000"/>
                <w:sz w:val="18"/>
              </w:rPr>
              <w:t>20%</w:t>
            </w:r>
          </w:p>
        </w:tc>
        <w:tc>
          <w:tcPr>
            <w:tcW w:type="dxa" w:w="3135"/>
          </w:tcPr>
          <w:p>
            <w:r/>
            <w:r>
              <w:rPr>
                <w:rFonts w:ascii="Calibri" w:hAnsi="Calibri"/>
                <w:b w:val="0"/>
                <w:i w:val="0"/>
                <w:color w:val="000000"/>
                <w:sz w:val="18"/>
              </w:rPr>
              <w:t>—</w:t>
            </w:r>
          </w:p>
        </w:tc>
      </w:tr>
    </w:tbl>
    <w:p/>
    <w:p>
      <w:r>
        <w:rPr>
          <w:rFonts w:ascii="Calibri" w:hAnsi="Calibri"/>
          <w:b/>
          <w:i w:val="0"/>
          <w:color w:val="1A365D"/>
          <w:sz w:val="22"/>
        </w:rPr>
        <w:t>Path B — Investor from “our side” (Qualifying Equity Closing)</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Scenario</w:t>
            </w:r>
          </w:p>
        </w:tc>
        <w:tc>
          <w:tcPr>
            <w:tcW w:type="dxa" w:w="3135"/>
            <w:shd w:fill="1A365D" w:val="clear"/>
          </w:tcPr>
          <w:p>
            <w:r/>
            <w:r>
              <w:rPr>
                <w:rFonts w:ascii="Calibri" w:hAnsi="Calibri"/>
                <w:b/>
                <w:i w:val="0"/>
                <w:color w:val="FFFFFF"/>
                <w:sz w:val="18"/>
              </w:rPr>
              <w:t>MD equity (max)</w:t>
            </w:r>
          </w:p>
        </w:tc>
        <w:tc>
          <w:tcPr>
            <w:tcW w:type="dxa" w:w="3135"/>
            <w:shd w:fill="1A365D" w:val="clear"/>
          </w:tcPr>
          <w:p>
            <w:r/>
            <w:r>
              <w:rPr>
                <w:rFonts w:ascii="Calibri" w:hAnsi="Calibri"/>
                <w:b/>
                <w:i w:val="0"/>
                <w:color w:val="FFFFFF"/>
                <w:sz w:val="18"/>
              </w:rPr>
              <w:t>MD cash (30% fee)</w:t>
            </w:r>
          </w:p>
        </w:tc>
      </w:tr>
      <w:tr>
        <w:tc>
          <w:tcPr>
            <w:tcW w:type="dxa" w:w="3135"/>
          </w:tcPr>
          <w:p>
            <w:r/>
            <w:r>
              <w:rPr>
                <w:rFonts w:ascii="Calibri" w:hAnsi="Calibri"/>
                <w:b w:val="0"/>
                <w:i w:val="0"/>
                <w:color w:val="000000"/>
                <w:sz w:val="18"/>
              </w:rPr>
              <w:t>Investor €500k / 12.5% before any EPC</w:t>
            </w:r>
          </w:p>
        </w:tc>
        <w:tc>
          <w:tcPr>
            <w:tcW w:type="dxa" w:w="3135"/>
          </w:tcPr>
          <w:p>
            <w:r/>
            <w:r>
              <w:rPr>
                <w:rFonts w:ascii="Calibri" w:hAnsi="Calibri"/>
                <w:b w:val="0"/>
                <w:i w:val="0"/>
                <w:color w:val="000000"/>
                <w:sz w:val="18"/>
              </w:rPr>
              <w:t>≤15% (counsel structures grant)</w:t>
            </w:r>
          </w:p>
        </w:tc>
        <w:tc>
          <w:tcPr>
            <w:tcW w:type="dxa" w:w="3135"/>
          </w:tcPr>
          <w:p>
            <w:r/>
            <w:r>
              <w:rPr>
                <w:rFonts w:ascii="Calibri" w:hAnsi="Calibri"/>
                <w:b w:val="0"/>
                <w:i w:val="0"/>
                <w:color w:val="000000"/>
                <w:sz w:val="18"/>
              </w:rPr>
              <w:t>€150,000</w:t>
            </w:r>
          </w:p>
        </w:tc>
      </w:tr>
      <w:tr>
        <w:tc>
          <w:tcPr>
            <w:tcW w:type="dxa" w:w="3135"/>
          </w:tcPr>
          <w:p>
            <w:r/>
            <w:r>
              <w:rPr>
                <w:rFonts w:ascii="Calibri" w:hAnsi="Calibri"/>
                <w:b w:val="0"/>
                <w:i w:val="0"/>
                <w:color w:val="000000"/>
                <w:sz w:val="18"/>
              </w:rPr>
              <w:t>Galascope signed (10%), then investor 12.5%</w:t>
            </w:r>
          </w:p>
        </w:tc>
        <w:tc>
          <w:tcPr>
            <w:tcW w:type="dxa" w:w="3135"/>
          </w:tcPr>
          <w:p>
            <w:r/>
            <w:r>
              <w:rPr>
                <w:rFonts w:ascii="Calibri" w:hAnsi="Calibri"/>
                <w:b w:val="0"/>
                <w:i w:val="0"/>
                <w:color w:val="000000"/>
                <w:sz w:val="18"/>
              </w:rPr>
              <w:t>≤15% (+5% only, not +10% Esperia)</w:t>
            </w:r>
          </w:p>
        </w:tc>
        <w:tc>
          <w:tcPr>
            <w:tcW w:type="dxa" w:w="3135"/>
          </w:tcPr>
          <w:p>
            <w:r/>
            <w:r>
              <w:rPr>
                <w:rFonts w:ascii="Calibri" w:hAnsi="Calibri"/>
                <w:b w:val="0"/>
                <w:i w:val="0"/>
                <w:color w:val="000000"/>
                <w:sz w:val="18"/>
              </w:rPr>
              <w:t>€150,000</w:t>
            </w:r>
          </w:p>
        </w:tc>
      </w:tr>
      <w:tr>
        <w:tc>
          <w:tcPr>
            <w:tcW w:type="dxa" w:w="3135"/>
          </w:tcPr>
          <w:p>
            <w:r/>
            <w:r>
              <w:rPr>
                <w:rFonts w:ascii="Calibri" w:hAnsi="Calibri"/>
                <w:b w:val="0"/>
                <w:i w:val="0"/>
                <w:color w:val="000000"/>
                <w:sz w:val="18"/>
              </w:rPr>
              <w:t>Both EPCs signed (20%), then investor</w:t>
            </w:r>
          </w:p>
        </w:tc>
        <w:tc>
          <w:tcPr>
            <w:tcW w:type="dxa" w:w="3135"/>
          </w:tcPr>
          <w:p>
            <w:r/>
            <w:r>
              <w:rPr>
                <w:rFonts w:ascii="Calibri" w:hAnsi="Calibri"/>
                <w:b w:val="0"/>
                <w:i w:val="0"/>
                <w:color w:val="000000"/>
                <w:sz w:val="18"/>
              </w:rPr>
              <w:t>20% frozen — *counsel: pre-close investor or waive second tranche*</w:t>
            </w:r>
          </w:p>
        </w:tc>
        <w:tc>
          <w:tcPr>
            <w:tcW w:type="dxa" w:w="3135"/>
          </w:tcPr>
          <w:p>
            <w:r/>
            <w:r>
              <w:rPr>
                <w:rFonts w:ascii="Calibri" w:hAnsi="Calibri"/>
                <w:b w:val="0"/>
                <w:i w:val="0"/>
                <w:color w:val="000000"/>
                <w:sz w:val="18"/>
              </w:rPr>
              <w:t>Fee on cash only</w:t>
            </w:r>
          </w:p>
        </w:tc>
      </w:tr>
      <w:tr>
        <w:tc>
          <w:tcPr>
            <w:tcW w:type="dxa" w:w="3135"/>
          </w:tcPr>
          <w:p>
            <w:r/>
            <w:r>
              <w:rPr>
                <w:rFonts w:ascii="Calibri" w:hAnsi="Calibri"/>
                <w:b w:val="0"/>
                <w:i w:val="0"/>
                <w:color w:val="000000"/>
                <w:sz w:val="18"/>
              </w:rPr>
              <w:t>Investor €1M / 25% with only Galascope EPC</w:t>
            </w:r>
          </w:p>
        </w:tc>
        <w:tc>
          <w:tcPr>
            <w:tcW w:type="dxa" w:w="3135"/>
          </w:tcPr>
          <w:p>
            <w:r/>
            <w:r>
              <w:rPr>
                <w:rFonts w:ascii="Calibri" w:hAnsi="Calibri"/>
                <w:b w:val="0"/>
                <w:i w:val="0"/>
                <w:color w:val="000000"/>
                <w:sz w:val="18"/>
              </w:rPr>
              <w:t>15% cap applies</w:t>
            </w:r>
          </w:p>
        </w:tc>
        <w:tc>
          <w:tcPr>
            <w:tcW w:type="dxa" w:w="3135"/>
          </w:tcPr>
          <w:p>
            <w:r/>
            <w:r>
              <w:rPr>
                <w:rFonts w:ascii="Calibri" w:hAnsi="Calibri"/>
                <w:b w:val="0"/>
                <w:i w:val="0"/>
                <w:color w:val="000000"/>
                <w:sz w:val="18"/>
              </w:rPr>
              <w:t>€300,000</w:t>
            </w:r>
          </w:p>
        </w:tc>
      </w:tr>
    </w:tbl>
    <w:p/>
    <w:p>
      <w:pPr>
        <w:jc w:val="both"/>
      </w:pPr>
      <w:r>
        <w:rPr>
          <w:rFonts w:ascii="Calibri" w:hAnsi="Calibri"/>
          <w:b w:val="0"/>
          <w:i w:val="0"/>
          <w:color w:val="000000"/>
          <w:sz w:val="20"/>
        </w:rPr>
        <w:t>Counsel to confirm whether investor closing before Esperia EPC waives EPC Milestone Grant B or reduces it to the residual under the 15% cap.</w:t>
      </w:r>
    </w:p>
    <w:p>
      <w:pPr>
        <w:spacing w:before="240"/>
      </w:pPr>
      <w:r>
        <w:rPr>
          <w:rFonts w:ascii="Calibri" w:hAnsi="Calibri"/>
          <w:b/>
          <w:i w:val="0"/>
          <w:color w:val="C9A432"/>
          <w:sz w:val="24"/>
        </w:rPr>
        <w:t>6. Dividend restriction (3 years)</w:t>
      </w:r>
    </w:p>
    <w:p>
      <w:pPr>
        <w:jc w:val="both"/>
      </w:pPr>
      <w:r>
        <w:rPr>
          <w:rFonts w:ascii="Calibri" w:hAnsi="Calibri"/>
          <w:b w:val="0"/>
          <w:i w:val="0"/>
          <w:color w:val="000000"/>
          <w:sz w:val="20"/>
        </w:rPr>
        <w:t>6.1 From the earlier of (i) first EPC Milestone Grant A or (ii) first Qualifying Equity Closing, until the third anniversary, no dividends or shareholder distributions except:</w:t>
      </w:r>
    </w:p>
    <w:p>
      <w:pPr>
        <w:jc w:val="both"/>
      </w:pPr>
      <w:r>
        <w:rPr>
          <w:rFonts w:ascii="Calibri" w:hAnsi="Calibri"/>
          <w:b w:val="0"/>
          <w:i w:val="0"/>
          <w:color w:val="000000"/>
          <w:sz w:val="20"/>
        </w:rPr>
        <w:t>(a) Moi Ostrov fees; (b) payroll; (c) project delivery costs; (d) documented shareholder loan repayments per Annex C; (e) amounts required by law.</w:t>
      </w:r>
    </w:p>
    <w:p>
      <w:pPr>
        <w:jc w:val="both"/>
      </w:pPr>
      <w:r>
        <w:rPr>
          <w:rFonts w:ascii="Calibri" w:hAnsi="Calibri"/>
          <w:b w:val="0"/>
          <w:i w:val="0"/>
          <w:color w:val="000000"/>
          <w:sz w:val="20"/>
        </w:rPr>
        <w:t>6.2 Founder shall vote shares accordingly.</w:t>
      </w:r>
    </w:p>
    <w:p>
      <w:pPr>
        <w:spacing w:before="240"/>
      </w:pPr>
      <w:r>
        <w:rPr>
          <w:rFonts w:ascii="Calibri" w:hAnsi="Calibri"/>
          <w:b/>
          <w:i w:val="0"/>
          <w:color w:val="C9A432"/>
          <w:sz w:val="24"/>
        </w:rPr>
        <w:t>7. Conditions &amp; protections</w:t>
      </w:r>
    </w:p>
    <w:p>
      <w:pPr>
        <w:jc w:val="both"/>
      </w:pPr>
      <w:r>
        <w:rPr>
          <w:rFonts w:ascii="Calibri" w:hAnsi="Calibri"/>
          <w:b w:val="0"/>
          <w:i w:val="0"/>
          <w:color w:val="000000"/>
          <w:sz w:val="20"/>
        </w:rPr>
        <w:t>7.1 MD engagement. MD must be Managing Director at each grant/closing (except Good Reason leaver).</w:t>
      </w:r>
    </w:p>
    <w:p>
      <w:pPr>
        <w:jc w:val="both"/>
      </w:pPr>
      <w:r>
        <w:rPr>
          <w:rFonts w:ascii="Calibri" w:hAnsi="Calibri"/>
          <w:b w:val="0"/>
          <w:i w:val="0"/>
          <w:color w:val="000000"/>
          <w:sz w:val="20"/>
        </w:rPr>
        <w:t>7.2 Founder undertakings. No circumvention via Group entities or off-LCY contracting (consistent with Consultancy Agreement Clause 12).</w:t>
      </w:r>
    </w:p>
    <w:p>
      <w:pPr>
        <w:jc w:val="both"/>
      </w:pPr>
      <w:r>
        <w:rPr>
          <w:rFonts w:ascii="Calibri" w:hAnsi="Calibri"/>
          <w:b w:val="0"/>
          <w:i w:val="0"/>
          <w:color w:val="000000"/>
          <w:sz w:val="20"/>
        </w:rPr>
        <w:t>7.3 Investor disclosure. Disclose Side Letter to Third Party Investor under NDA before closing; disclose participation fee in term sheet if Company pays.</w:t>
      </w:r>
    </w:p>
    <w:p>
      <w:pPr>
        <w:jc w:val="both"/>
      </w:pPr>
      <w:r>
        <w:rPr>
          <w:rFonts w:ascii="Calibri" w:hAnsi="Calibri"/>
          <w:b w:val="0"/>
          <w:i w:val="0"/>
          <w:color w:val="000000"/>
          <w:sz w:val="20"/>
        </w:rPr>
        <w:t>7.4 Protected Matter. Amendment requires unanimous Founder + MD written consent — mirror Consultancy Agreement in Articles.</w:t>
      </w:r>
    </w:p>
    <w:p>
      <w:pPr>
        <w:jc w:val="both"/>
      </w:pPr>
      <w:r>
        <w:rPr>
          <w:rFonts w:ascii="Calibri" w:hAnsi="Calibri"/>
          <w:b w:val="0"/>
          <w:i w:val="0"/>
          <w:color w:val="000000"/>
          <w:sz w:val="20"/>
        </w:rPr>
        <w:t>7.5 Anti-dilution (MD shares only). MD equity shall not be diluted by founder-only issuances without MD consent until a bona fide third-party round.</w:t>
      </w:r>
    </w:p>
    <w:p>
      <w:pPr>
        <w:spacing w:before="240"/>
      </w:pPr>
      <w:r>
        <w:rPr>
          <w:rFonts w:ascii="Calibri" w:hAnsi="Calibri"/>
          <w:b/>
          <w:i w:val="0"/>
          <w:color w:val="C9A432"/>
          <w:sz w:val="24"/>
        </w:rPr>
        <w:t>8. Relationship to other documents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Document</w:t>
            </w:r>
          </w:p>
        </w:tc>
        <w:tc>
          <w:tcPr>
            <w:tcW w:type="dxa" w:w="4703"/>
            <w:shd w:fill="1A365D" w:val="clear"/>
          </w:tcPr>
          <w:p>
            <w:r/>
            <w:r>
              <w:rPr>
                <w:rFonts w:ascii="Calibri" w:hAnsi="Calibri"/>
                <w:b/>
                <w:i w:val="0"/>
                <w:color w:val="FFFFFF"/>
                <w:sz w:val="18"/>
              </w:rPr>
              <w:t>Relationship</w:t>
            </w:r>
          </w:p>
        </w:tc>
      </w:tr>
      <w:tr>
        <w:tc>
          <w:tcPr>
            <w:tcW w:type="dxa" w:w="4703"/>
          </w:tcPr>
          <w:p>
            <w:r/>
            <w:r>
              <w:rPr>
                <w:rFonts w:ascii="Calibri" w:hAnsi="Calibri"/>
                <w:b w:val="0"/>
                <w:i w:val="0"/>
                <w:color w:val="000000"/>
                <w:sz w:val="18"/>
              </w:rPr>
              <w:t>Moi Ostrov Consultancy Agreement</w:t>
            </w:r>
          </w:p>
        </w:tc>
        <w:tc>
          <w:tcPr>
            <w:tcW w:type="dxa" w:w="4703"/>
          </w:tcPr>
          <w:p>
            <w:r/>
            <w:r>
              <w:rPr>
                <w:rFonts w:ascii="Calibri" w:hAnsi="Calibri"/>
                <w:b w:val="0"/>
                <w:i w:val="0"/>
                <w:color w:val="000000"/>
                <w:sz w:val="18"/>
              </w:rPr>
              <w:t>Operating — 30% Net Margin</w:t>
            </w:r>
          </w:p>
        </w:tc>
      </w:tr>
      <w:tr>
        <w:tc>
          <w:tcPr>
            <w:tcW w:type="dxa" w:w="4703"/>
          </w:tcPr>
          <w:p>
            <w:r/>
            <w:r>
              <w:rPr>
                <w:rFonts w:ascii="Calibri" w:hAnsi="Calibri"/>
                <w:b w:val="0"/>
                <w:i w:val="0"/>
                <w:color w:val="000000"/>
                <w:sz w:val="18"/>
              </w:rPr>
              <w:t>This Side Letter</w:t>
            </w:r>
          </w:p>
        </w:tc>
        <w:tc>
          <w:tcPr>
            <w:tcW w:type="dxa" w:w="4703"/>
          </w:tcPr>
          <w:p>
            <w:r/>
            <w:r>
              <w:rPr>
                <w:rFonts w:ascii="Calibri" w:hAnsi="Calibri"/>
                <w:b w:val="0"/>
                <w:i w:val="0"/>
                <w:color w:val="000000"/>
                <w:sz w:val="18"/>
              </w:rPr>
              <w:t>Capital — EPC 10%+10% (max 20%) OR investor fee + 15% equity cap</w:t>
            </w:r>
          </w:p>
        </w:tc>
      </w:tr>
      <w:tr>
        <w:tc>
          <w:tcPr>
            <w:tcW w:type="dxa" w:w="4703"/>
          </w:tcPr>
          <w:p>
            <w:r/>
            <w:r>
              <w:rPr>
                <w:rFonts w:ascii="Calibri" w:hAnsi="Calibri"/>
                <w:b w:val="0"/>
                <w:i w:val="0"/>
                <w:color w:val="000000"/>
                <w:sz w:val="18"/>
              </w:rPr>
              <w:t>Employment agreement</w:t>
            </w:r>
          </w:p>
        </w:tc>
        <w:tc>
          <w:tcPr>
            <w:tcW w:type="dxa" w:w="4703"/>
          </w:tcPr>
          <w:p>
            <w:r/>
            <w:r>
              <w:rPr>
                <w:rFonts w:ascii="Calibri" w:hAnsi="Calibri"/>
                <w:b w:val="0"/>
                <w:i w:val="0"/>
                <w:color w:val="000000"/>
                <w:sz w:val="18"/>
              </w:rPr>
              <w:t>Galascope EPC → €5k gross salary</w:t>
            </w:r>
          </w:p>
        </w:tc>
      </w:tr>
      <w:tr>
        <w:tc>
          <w:tcPr>
            <w:tcW w:type="dxa" w:w="4703"/>
          </w:tcPr>
          <w:p>
            <w:r/>
            <w:r>
              <w:rPr>
                <w:rFonts w:ascii="Calibri" w:hAnsi="Calibri"/>
                <w:b w:val="0"/>
                <w:i w:val="0"/>
                <w:color w:val="000000"/>
                <w:sz w:val="18"/>
              </w:rPr>
              <w:t>Option A runway</w:t>
            </w:r>
          </w:p>
        </w:tc>
        <w:tc>
          <w:tcPr>
            <w:tcW w:type="dxa" w:w="4703"/>
          </w:tcPr>
          <w:p>
            <w:r/>
            <w:r>
              <w:rPr>
                <w:rFonts w:ascii="Calibri" w:hAnsi="Calibri"/>
                <w:b w:val="0"/>
                <w:i w:val="0"/>
                <w:color w:val="000000"/>
                <w:sz w:val="18"/>
              </w:rPr>
              <w:t>Independent — loan / runway</w:t>
            </w:r>
          </w:p>
        </w:tc>
      </w:tr>
    </w:tbl>
    <w:p/>
    <w:p>
      <w:pPr>
        <w:spacing w:before="240"/>
      </w:pPr>
      <w:r>
        <w:rPr>
          <w:rFonts w:ascii="Calibri" w:hAnsi="Calibri"/>
          <w:b/>
          <w:i w:val="0"/>
          <w:color w:val="C9A432"/>
          <w:sz w:val="24"/>
        </w:rPr>
        <w:t>9. Illustrative cap table outcomes</w:t>
      </w:r>
    </w:p>
    <w:p>
      <w:pPr>
        <w:jc w:val="both"/>
      </w:pPr>
      <w:r>
        <w:rPr>
          <w:rFonts w:ascii="Calibri" w:hAnsi="Calibri"/>
          <w:b/>
          <w:i w:val="0"/>
          <w:color w:val="000000"/>
          <w:sz w:val="20"/>
        </w:rPr>
        <w:t>After Galascope EPC only:</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90%</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10%</w:t>
            </w:r>
          </w:p>
        </w:tc>
      </w:tr>
    </w:tbl>
    <w:p/>
    <w:p>
      <w:pPr>
        <w:jc w:val="both"/>
      </w:pPr>
      <w:r>
        <w:rPr>
          <w:rFonts w:ascii="Calibri" w:hAnsi="Calibri"/>
          <w:b/>
          <w:i w:val="0"/>
          <w:color w:val="000000"/>
          <w:sz w:val="20"/>
        </w:rPr>
        <w:t>After Galascope + Esperia EPC (no investor):</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80%</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20%</w:t>
            </w:r>
          </w:p>
        </w:tc>
      </w:tr>
    </w:tbl>
    <w:p/>
    <w:p>
      <w:pPr>
        <w:jc w:val="both"/>
      </w:pPr>
      <w:r>
        <w:rPr>
          <w:rFonts w:ascii="Calibri" w:hAnsi="Calibri"/>
          <w:b/>
          <w:i w:val="0"/>
          <w:color w:val="000000"/>
          <w:sz w:val="20"/>
        </w:rPr>
        <w:t>After Galascope (10%) + investor 12.5% + cap applied:</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72.5%</w:t>
            </w:r>
          </w:p>
        </w:tc>
      </w:tr>
      <w:tr>
        <w:tc>
          <w:tcPr>
            <w:tcW w:type="dxa" w:w="4703"/>
          </w:tcPr>
          <w:p>
            <w:r/>
            <w:r>
              <w:rPr>
                <w:rFonts w:ascii="Calibri" w:hAnsi="Calibri"/>
                <w:b w:val="0"/>
                <w:i w:val="0"/>
                <w:color w:val="000000"/>
                <w:sz w:val="18"/>
              </w:rPr>
              <w:t>Third Party Investor</w:t>
            </w:r>
          </w:p>
        </w:tc>
        <w:tc>
          <w:tcPr>
            <w:tcW w:type="dxa" w:w="4703"/>
          </w:tcPr>
          <w:p>
            <w:r/>
            <w:r>
              <w:rPr>
                <w:rFonts w:ascii="Calibri" w:hAnsi="Calibri"/>
                <w:b w:val="0"/>
                <w:i w:val="0"/>
                <w:color w:val="000000"/>
                <w:sz w:val="18"/>
              </w:rPr>
              <w:t>12.5%</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15% (not 20%)</w:t>
            </w:r>
          </w:p>
        </w:tc>
      </w:tr>
      <w:tr>
        <w:tc>
          <w:tcPr>
            <w:tcW w:type="dxa" w:w="4703"/>
          </w:tcPr>
          <w:p>
            <w:r/>
            <w:r>
              <w:rPr>
                <w:rFonts w:ascii="Calibri" w:hAnsi="Calibri"/>
                <w:b w:val="0"/>
                <w:i w:val="0"/>
                <w:color w:val="000000"/>
                <w:sz w:val="18"/>
              </w:rPr>
              <w:t>*Founder pays MD*</w:t>
            </w:r>
          </w:p>
        </w:tc>
        <w:tc>
          <w:tcPr>
            <w:tcW w:type="dxa" w:w="4703"/>
          </w:tcPr>
          <w:p>
            <w:r/>
            <w:r>
              <w:rPr>
                <w:rFonts w:ascii="Calibri" w:hAnsi="Calibri"/>
                <w:b w:val="0"/>
                <w:i w:val="0"/>
                <w:color w:val="000000"/>
                <w:sz w:val="18"/>
              </w:rPr>
              <w:t>*€150k participation fee*</w:t>
            </w:r>
          </w:p>
        </w:tc>
      </w:tr>
    </w:tbl>
    <w:p/>
    <w:p>
      <w:pPr>
        <w:spacing w:before="240"/>
      </w:pPr>
      <w:r>
        <w:rPr>
          <w:rFonts w:ascii="Calibri" w:hAnsi="Calibri"/>
          <w:b/>
          <w:i w:val="0"/>
          <w:color w:val="C9A432"/>
          <w:sz w:val="24"/>
        </w:rPr>
        <w:t>10. Signature block</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Party</w:t>
            </w:r>
          </w:p>
        </w:tc>
        <w:tc>
          <w:tcPr>
            <w:tcW w:type="dxa" w:w="4703"/>
            <w:shd w:fill="1A365D" w:val="clear"/>
          </w:tcPr>
          <w:p>
            <w:r/>
            <w:r>
              <w:rPr>
                <w:rFonts w:ascii="Calibri" w:hAnsi="Calibri"/>
                <w:b/>
                <w:i w:val="0"/>
                <w:color w:val="FFFFFF"/>
                <w:sz w:val="18"/>
              </w:rPr>
              <w:t>Signatory</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Dr. Arkadiusz Sybaris for and on behalf of Lighthief International Ltd</w:t>
            </w:r>
          </w:p>
        </w:tc>
      </w:tr>
      <w:tr>
        <w:tc>
          <w:tcPr>
            <w:tcW w:type="dxa" w:w="4703"/>
          </w:tcPr>
          <w:p>
            <w:r/>
            <w:r>
              <w:rPr>
                <w:rFonts w:ascii="Calibri" w:hAnsi="Calibri"/>
                <w:b w:val="0"/>
                <w:i w:val="0"/>
                <w:color w:val="000000"/>
                <w:sz w:val="18"/>
              </w:rPr>
              <w:t>Company</w:t>
            </w:r>
          </w:p>
        </w:tc>
        <w:tc>
          <w:tcPr>
            <w:tcW w:type="dxa" w:w="4703"/>
          </w:tcPr>
          <w:p>
            <w:r/>
            <w:r>
              <w:rPr>
                <w:rFonts w:ascii="Calibri" w:hAnsi="Calibri"/>
                <w:b w:val="0"/>
                <w:i w:val="0"/>
                <w:color w:val="000000"/>
                <w:sz w:val="18"/>
              </w:rPr>
              <w:t>Alexander Papacosta, Director (acknowledges terms)</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Alexander Papacosta</w:t>
            </w:r>
          </w:p>
        </w:tc>
      </w:tr>
    </w:tbl>
    <w:p/>
    <w:p>
      <w:pPr>
        <w:jc w:val="both"/>
      </w:pPr>
      <w:r>
        <w:rPr>
          <w:rFonts w:ascii="Calibri" w:hAnsi="Calibri"/>
          <w:b w:val="0"/>
          <w:i w:val="0"/>
          <w:color w:val="000000"/>
          <w:sz w:val="20"/>
        </w:rPr>
        <w:t>Annex A: EPC contract references (Galascope / Esperia)</w:t>
      </w:r>
    </w:p>
    <w:p>
      <w:pPr>
        <w:jc w:val="both"/>
      </w:pPr>
      <w:r>
        <w:rPr>
          <w:rFonts w:ascii="Calibri" w:hAnsi="Calibri"/>
          <w:b w:val="0"/>
          <w:i w:val="0"/>
          <w:color w:val="000000"/>
          <w:sz w:val="20"/>
        </w:rPr>
        <w:t>Annex B: Good Reason (cross-ref employment)</w:t>
      </w:r>
    </w:p>
    <w:p>
      <w:pPr>
        <w:jc w:val="both"/>
      </w:pPr>
      <w:r>
        <w:rPr>
          <w:rFonts w:ascii="Calibri" w:hAnsi="Calibri"/>
          <w:b w:val="0"/>
          <w:i w:val="0"/>
          <w:color w:val="000000"/>
          <w:sz w:val="20"/>
        </w:rPr>
        <w:t>Annex C: Shareholder loan schedule (if any)</w:t>
      </w:r>
    </w:p>
    <w:p>
      <w:pPr>
        <w:jc w:val="both"/>
      </w:pPr>
      <w:r>
        <w:rPr>
          <w:rFonts w:ascii="Calibri" w:hAnsi="Calibri"/>
          <w:b w:val="0"/>
          <w:i w:val="0"/>
          <w:color w:val="000000"/>
          <w:sz w:val="20"/>
        </w:rPr>
        <w:t>End of draft — reflects founder verbal May 2026: 10% per major EPC sign, 15% cap if investor path. Not legal advice.</w:t>
      </w:r>
    </w:p>
    <w:p/>
    <w:p>
      <w:r>
        <w:rPr>
          <w:rFonts w:ascii="Calibri" w:hAnsi="Calibri"/>
          <w:b/>
          <w:i w:val="0"/>
          <w:color w:val="C9A432"/>
          <w:sz w:val="24"/>
        </w:rPr>
        <w:t>SIGNATURES</w:t>
      </w:r>
    </w:p>
    <w:p/>
    <w:p>
      <w:r>
        <w:rPr>
          <w:rFonts w:ascii="Calibri" w:hAnsi="Calibri"/>
          <w:b/>
          <w:i w:val="0"/>
          <w:color w:val="000000"/>
          <w:sz w:val="20"/>
        </w:rPr>
        <w:t>Founder: Dr. Arkadiusz Sybaris for Lighthief International Ltd</w:t>
      </w:r>
    </w:p>
    <w:p>
      <w:r>
        <w:rPr>
          <w:rFonts w:ascii="Calibri" w:hAnsi="Calibri"/>
          <w:b w:val="0"/>
          <w:i w:val="0"/>
          <w:color w:val="000000"/>
          <w:sz w:val="20"/>
        </w:rPr>
        <w:t>Signature: ______________________   Date: ______________________</w:t>
      </w:r>
    </w:p>
    <w:p/>
    <w:p>
      <w:r>
        <w:rPr>
          <w:rFonts w:ascii="Calibri" w:hAnsi="Calibri"/>
          <w:b/>
          <w:i w:val="0"/>
          <w:color w:val="000000"/>
          <w:sz w:val="20"/>
        </w:rPr>
        <w:t>Company: Lighthief Cyprus Ltd — Director</w:t>
      </w:r>
    </w:p>
    <w:p>
      <w:r>
        <w:rPr>
          <w:rFonts w:ascii="Calibri" w:hAnsi="Calibri"/>
          <w:b w:val="0"/>
          <w:i w:val="0"/>
          <w:color w:val="000000"/>
          <w:sz w:val="20"/>
        </w:rPr>
        <w:t>Signature: ______________________   Date: ______________________</w:t>
      </w:r>
    </w:p>
    <w:p/>
    <w:p>
      <w:r>
        <w:rPr>
          <w:rFonts w:ascii="Calibri" w:hAnsi="Calibri"/>
          <w:b/>
          <w:i w:val="0"/>
          <w:color w:val="000000"/>
          <w:sz w:val="20"/>
        </w:rPr>
        <w:t>MD: Alexander Papacosta</w:t>
      </w:r>
    </w:p>
    <w:p>
      <w:r>
        <w:rPr>
          <w:rFonts w:ascii="Calibri" w:hAnsi="Calibri"/>
          <w:b w:val="0"/>
          <w:i w:val="0"/>
          <w:color w:val="000000"/>
          <w:sz w:val="20"/>
        </w:rPr>
        <w:t>Signature: ______________________   Date: ______________________</w:t>
      </w:r>
    </w:p>
    <w:p>
      <w:pPr>
        <w:sectPr>
          <w:footerReference w:type="default" r:id="rId20"/>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OPTION A: FOUNDER RUNWAY &amp; MD ECONOMICS (HEADS OF TERMS)</w:t>
      </w:r>
    </w:p>
    <w:p/>
    <w:p>
      <w:pPr>
        <w:jc w:val="both"/>
      </w:pPr>
      <w:r>
        <w:rPr>
          <w:rFonts w:ascii="Calibri" w:hAnsi="Calibri"/>
          <w:b w:val="0"/>
          <w:i w:val="0"/>
          <w:color w:val="000000"/>
          <w:sz w:val="20"/>
        </w:rPr>
        <w:t>Status: TEMPLATE — requires Cyprus legal review before signature</w:t>
      </w:r>
    </w:p>
    <w:p>
      <w:pPr>
        <w:jc w:val="both"/>
      </w:pPr>
      <w:r>
        <w:rPr>
          <w:rFonts w:ascii="Calibri" w:hAnsi="Calibri"/>
          <w:b w:val="0"/>
          <w:i w:val="0"/>
          <w:color w:val="000000"/>
          <w:sz w:val="20"/>
        </w:rPr>
        <w:t>Parties (fill in): Lighthief Cyprus Ltd (“Company”) · [Founder full legal name] (“Founder”) · Alexander Papacosta (“MD”) in capacity as [Managing Director / employee — as advised]</w:t>
      </w:r>
    </w:p>
    <w:p>
      <w:pPr>
        <w:jc w:val="both"/>
      </w:pPr>
      <w:r>
        <w:rPr>
          <w:rFonts w:ascii="Calibri" w:hAnsi="Calibri"/>
          <w:b w:val="0"/>
          <w:i w:val="0"/>
          <w:color w:val="000000"/>
          <w:sz w:val="20"/>
        </w:rPr>
        <w:t>Purpose: Record binding or pre-contractual commitments so the Company can execute the client contract without relying on informal founder support. Counsel may convert this into a loan agreement, shareholder resolution, side letter, or amended SHA.</w:t>
      </w:r>
    </w:p>
    <w:p>
      <w:pPr>
        <w:spacing w:before="240"/>
      </w:pPr>
      <w:r>
        <w:rPr>
          <w:rFonts w:ascii="Calibri" w:hAnsi="Calibri"/>
          <w:b/>
          <w:i w:val="0"/>
          <w:color w:val="C9A432"/>
          <w:sz w:val="24"/>
        </w:rPr>
        <w:t>Recitals (to be adapted by counsel)</w:t>
      </w:r>
    </w:p>
    <w:p>
      <w:pPr>
        <w:pStyle w:val="ListBullet"/>
      </w:pPr>
      <w:r>
        <w:rPr>
          <w:rFonts w:ascii="Calibri" w:hAnsi="Calibri"/>
          <w:b w:val="0"/>
          <w:i w:val="0"/>
          <w:color w:val="000000"/>
          <w:sz w:val="20"/>
        </w:rPr>
        <w:t>The Company intends to enter into [describe client contract / LOI reference] (“Client Contract”).</w:t>
      </w:r>
    </w:p>
    <w:p>
      <w:pPr>
        <w:pStyle w:val="ListBullet"/>
      </w:pPr>
      <w:r>
        <w:rPr>
          <w:rFonts w:ascii="Calibri" w:hAnsi="Calibri"/>
          <w:b w:val="0"/>
          <w:i w:val="0"/>
          <w:color w:val="000000"/>
          <w:sz w:val="20"/>
        </w:rPr>
        <w:t>The MD has built sales pipeline and requires certainty on company liquidity and MD compensation to support execution.</w:t>
      </w:r>
    </w:p>
    <w:p>
      <w:pPr>
        <w:pStyle w:val="ListBullet"/>
      </w:pPr>
      <w:r>
        <w:rPr>
          <w:rFonts w:ascii="Calibri" w:hAnsi="Calibri"/>
          <w:b w:val="0"/>
          <w:i w:val="0"/>
          <w:color w:val="000000"/>
          <w:sz w:val="20"/>
        </w:rPr>
        <w:t>The Founder is willing to provide Option A support as set out below.</w:t>
      </w:r>
    </w:p>
    <w:p>
      <w:pPr>
        <w:spacing w:before="240"/>
      </w:pPr>
      <w:r>
        <w:rPr>
          <w:rFonts w:ascii="Calibri" w:hAnsi="Calibri"/>
          <w:b/>
          <w:i w:val="0"/>
          <w:color w:val="C9A432"/>
          <w:sz w:val="24"/>
        </w:rPr>
        <w:t>1. Founder liquidity support (choose one sub-structure; counsel to draft)</w:t>
      </w:r>
    </w:p>
    <w:p>
      <w:pPr>
        <w:jc w:val="both"/>
      </w:pPr>
      <w:r>
        <w:rPr>
          <w:rFonts w:ascii="Calibri" w:hAnsi="Calibri"/>
          <w:b/>
          <w:i w:val="0"/>
          <w:color w:val="000000"/>
          <w:sz w:val="20"/>
        </w:rPr>
        <w:t>1A. Shareholder loan</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Field</w:t>
            </w:r>
          </w:p>
        </w:tc>
        <w:tc>
          <w:tcPr>
            <w:tcW w:type="dxa" w:w="4703"/>
            <w:shd w:fill="1A365D" w:val="clear"/>
          </w:tcPr>
          <w:p>
            <w:r/>
            <w:r>
              <w:rPr>
                <w:rFonts w:ascii="Calibri" w:hAnsi="Calibri"/>
                <w:b/>
                <w:i w:val="0"/>
                <w:color w:val="FFFFFF"/>
                <w:sz w:val="18"/>
              </w:rPr>
              <w:t>Terms</w:t>
            </w:r>
          </w:p>
        </w:tc>
      </w:tr>
      <w:tr>
        <w:tc>
          <w:tcPr>
            <w:tcW w:type="dxa" w:w="4703"/>
          </w:tcPr>
          <w:p>
            <w:r/>
            <w:r>
              <w:rPr>
                <w:rFonts w:ascii="Calibri" w:hAnsi="Calibri"/>
                <w:b w:val="0"/>
                <w:i w:val="0"/>
                <w:color w:val="000000"/>
                <w:sz w:val="18"/>
              </w:rPr>
              <w:t>Amount</w:t>
            </w:r>
          </w:p>
        </w:tc>
        <w:tc>
          <w:tcPr>
            <w:tcW w:type="dxa" w:w="4703"/>
          </w:tcPr>
          <w:p>
            <w:r/>
            <w:r>
              <w:rPr>
                <w:rFonts w:ascii="Calibri" w:hAnsi="Calibri"/>
                <w:b w:val="0"/>
                <w:i w:val="0"/>
                <w:color w:val="000000"/>
                <w:sz w:val="18"/>
              </w:rPr>
              <w:t>€[_______]</w:t>
            </w:r>
          </w:p>
        </w:tc>
      </w:tr>
      <w:tr>
        <w:tc>
          <w:tcPr>
            <w:tcW w:type="dxa" w:w="4703"/>
          </w:tcPr>
          <w:p>
            <w:r/>
            <w:r>
              <w:rPr>
                <w:rFonts w:ascii="Calibri" w:hAnsi="Calibri"/>
                <w:b w:val="0"/>
                <w:i w:val="0"/>
                <w:color w:val="000000"/>
                <w:sz w:val="18"/>
              </w:rPr>
              <w:t>Currency</w:t>
            </w:r>
          </w:p>
        </w:tc>
        <w:tc>
          <w:tcPr>
            <w:tcW w:type="dxa" w:w="4703"/>
          </w:tcPr>
          <w:p>
            <w:r/>
            <w:r>
              <w:rPr>
                <w:rFonts w:ascii="Calibri" w:hAnsi="Calibri"/>
                <w:b w:val="0"/>
                <w:i w:val="0"/>
                <w:color w:val="000000"/>
                <w:sz w:val="18"/>
              </w:rPr>
              <w:t>EUR</w:t>
            </w:r>
          </w:p>
        </w:tc>
      </w:tr>
      <w:tr>
        <w:tc>
          <w:tcPr>
            <w:tcW w:type="dxa" w:w="4703"/>
          </w:tcPr>
          <w:p>
            <w:r/>
            <w:r>
              <w:rPr>
                <w:rFonts w:ascii="Calibri" w:hAnsi="Calibri"/>
                <w:b w:val="0"/>
                <w:i w:val="0"/>
                <w:color w:val="000000"/>
                <w:sz w:val="18"/>
              </w:rPr>
              <w:t>Purpose</w:t>
            </w:r>
          </w:p>
        </w:tc>
        <w:tc>
          <w:tcPr>
            <w:tcW w:type="dxa" w:w="4703"/>
          </w:tcPr>
          <w:p>
            <w:r/>
            <w:r>
              <w:rPr>
                <w:rFonts w:ascii="Calibri" w:hAnsi="Calibri"/>
                <w:b w:val="0"/>
                <w:i w:val="0"/>
                <w:color w:val="000000"/>
                <w:sz w:val="18"/>
              </w:rPr>
              <w:t>Working capital: payroll, premises, [VAT bridge / other — specify]</w:t>
            </w:r>
          </w:p>
        </w:tc>
      </w:tr>
      <w:tr>
        <w:tc>
          <w:tcPr>
            <w:tcW w:type="dxa" w:w="4703"/>
          </w:tcPr>
          <w:p>
            <w:r/>
            <w:r>
              <w:rPr>
                <w:rFonts w:ascii="Calibri" w:hAnsi="Calibri"/>
                <w:b w:val="0"/>
                <w:i w:val="0"/>
                <w:color w:val="000000"/>
                <w:sz w:val="18"/>
              </w:rPr>
              <w:t>Interest</w:t>
            </w:r>
          </w:p>
        </w:tc>
        <w:tc>
          <w:tcPr>
            <w:tcW w:type="dxa" w:w="4703"/>
          </w:tcPr>
          <w:p>
            <w:r/>
            <w:r>
              <w:rPr>
                <w:rFonts w:ascii="Calibri" w:hAnsi="Calibri"/>
                <w:b w:val="0"/>
                <w:i w:val="0"/>
                <w:color w:val="000000"/>
                <w:sz w:val="18"/>
              </w:rPr>
              <w:t>[None / fixed / floating — as legally permitted]</w:t>
            </w:r>
          </w:p>
        </w:tc>
      </w:tr>
      <w:tr>
        <w:tc>
          <w:tcPr>
            <w:tcW w:type="dxa" w:w="4703"/>
          </w:tcPr>
          <w:p>
            <w:r/>
            <w:r>
              <w:rPr>
                <w:rFonts w:ascii="Calibri" w:hAnsi="Calibri"/>
                <w:b w:val="0"/>
                <w:i w:val="0"/>
                <w:color w:val="000000"/>
                <w:sz w:val="18"/>
              </w:rPr>
              <w:t>Repayment</w:t>
            </w:r>
          </w:p>
        </w:tc>
        <w:tc>
          <w:tcPr>
            <w:tcW w:type="dxa" w:w="4703"/>
          </w:tcPr>
          <w:p>
            <w:r/>
            <w:r>
              <w:rPr>
                <w:rFonts w:ascii="Calibri" w:hAnsi="Calibri"/>
                <w:b w:val="0"/>
                <w:i w:val="0"/>
                <w:color w:val="000000"/>
                <w:sz w:val="18"/>
              </w:rPr>
              <w:t>[From Client Contract milestones / from distributable profits / schedule]</w:t>
            </w:r>
          </w:p>
        </w:tc>
      </w:tr>
      <w:tr>
        <w:tc>
          <w:tcPr>
            <w:tcW w:type="dxa" w:w="4703"/>
          </w:tcPr>
          <w:p>
            <w:r/>
            <w:r>
              <w:rPr>
                <w:rFonts w:ascii="Calibri" w:hAnsi="Calibri"/>
                <w:b w:val="0"/>
                <w:i w:val="0"/>
                <w:color w:val="000000"/>
                <w:sz w:val="18"/>
              </w:rPr>
              <w:t>Subordination</w:t>
            </w:r>
          </w:p>
        </w:tc>
        <w:tc>
          <w:tcPr>
            <w:tcW w:type="dxa" w:w="4703"/>
          </w:tcPr>
          <w:p>
            <w:r/>
            <w:r>
              <w:rPr>
                <w:rFonts w:ascii="Calibri" w:hAnsi="Calibri"/>
                <w:b w:val="0"/>
                <w:i w:val="0"/>
                <w:color w:val="000000"/>
                <w:sz w:val="18"/>
              </w:rPr>
              <w:t>[Subordinated to third-party lenders / pari passu — specify]</w:t>
            </w:r>
          </w:p>
        </w:tc>
      </w:tr>
      <w:tr>
        <w:tc>
          <w:tcPr>
            <w:tcW w:type="dxa" w:w="4703"/>
          </w:tcPr>
          <w:p>
            <w:r/>
            <w:r>
              <w:rPr>
                <w:rFonts w:ascii="Calibri" w:hAnsi="Calibri"/>
                <w:b w:val="0"/>
                <w:i w:val="0"/>
                <w:color w:val="000000"/>
                <w:sz w:val="18"/>
              </w:rPr>
              <w:t>Drawdown</w:t>
            </w:r>
          </w:p>
        </w:tc>
        <w:tc>
          <w:tcPr>
            <w:tcW w:type="dxa" w:w="4703"/>
          </w:tcPr>
          <w:p>
            <w:r/>
            <w:r>
              <w:rPr>
                <w:rFonts w:ascii="Calibri" w:hAnsi="Calibri"/>
                <w:b w:val="0"/>
                <w:i w:val="0"/>
                <w:color w:val="000000"/>
                <w:sz w:val="18"/>
              </w:rPr>
              <w:t>By [date] / upon Client Contract signature</w:t>
            </w:r>
          </w:p>
        </w:tc>
      </w:tr>
      <w:tr>
        <w:tc>
          <w:tcPr>
            <w:tcW w:type="dxa" w:w="4703"/>
          </w:tcPr>
          <w:p>
            <w:r/>
            <w:r>
              <w:rPr>
                <w:rFonts w:ascii="Calibri" w:hAnsi="Calibri"/>
                <w:b w:val="0"/>
                <w:i w:val="0"/>
                <w:color w:val="000000"/>
                <w:sz w:val="18"/>
              </w:rPr>
              <w:t>Condition</w:t>
            </w:r>
          </w:p>
        </w:tc>
        <w:tc>
          <w:tcPr>
            <w:tcW w:type="dxa" w:w="4703"/>
          </w:tcPr>
          <w:p>
            <w:r/>
            <w:r>
              <w:rPr>
                <w:rFonts w:ascii="Calibri" w:hAnsi="Calibri"/>
                <w:b w:val="0"/>
                <w:i w:val="0"/>
                <w:color w:val="000000"/>
                <w:sz w:val="18"/>
              </w:rPr>
              <w:t>[Optional] Drawdown available only if Client Contract signed by [date]</w:t>
            </w:r>
          </w:p>
        </w:tc>
      </w:tr>
    </w:tbl>
    <w:p/>
    <w:p>
      <w:pPr>
        <w:jc w:val="both"/>
      </w:pPr>
      <w:r>
        <w:rPr>
          <w:rFonts w:ascii="Calibri" w:hAnsi="Calibri"/>
          <w:b w:val="0"/>
          <w:i w:val="0"/>
          <w:color w:val="000000"/>
          <w:sz w:val="20"/>
        </w:rPr>
        <w:t>1B. Paid-in capital / equity injection (alternative to loan)</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Field</w:t>
            </w:r>
          </w:p>
        </w:tc>
        <w:tc>
          <w:tcPr>
            <w:tcW w:type="dxa" w:w="4703"/>
            <w:shd w:fill="1A365D" w:val="clear"/>
          </w:tcPr>
          <w:p>
            <w:r/>
            <w:r>
              <w:rPr>
                <w:rFonts w:ascii="Calibri" w:hAnsi="Calibri"/>
                <w:b/>
                <w:i w:val="0"/>
                <w:color w:val="FFFFFF"/>
                <w:sz w:val="18"/>
              </w:rPr>
              <w:t>Terms</w:t>
            </w:r>
          </w:p>
        </w:tc>
      </w:tr>
      <w:tr>
        <w:tc>
          <w:tcPr>
            <w:tcW w:type="dxa" w:w="4703"/>
          </w:tcPr>
          <w:p>
            <w:r/>
            <w:r>
              <w:rPr>
                <w:rFonts w:ascii="Calibri" w:hAnsi="Calibri"/>
                <w:b w:val="0"/>
                <w:i w:val="0"/>
                <w:color w:val="000000"/>
                <w:sz w:val="18"/>
              </w:rPr>
              <w:t>Amount</w:t>
            </w:r>
          </w:p>
        </w:tc>
        <w:tc>
          <w:tcPr>
            <w:tcW w:type="dxa" w:w="4703"/>
          </w:tcPr>
          <w:p>
            <w:r/>
            <w:r>
              <w:rPr>
                <w:rFonts w:ascii="Calibri" w:hAnsi="Calibri"/>
                <w:b w:val="0"/>
                <w:i w:val="0"/>
                <w:color w:val="000000"/>
                <w:sz w:val="18"/>
              </w:rPr>
              <w:t>€[_______]</w:t>
            </w:r>
          </w:p>
        </w:tc>
      </w:tr>
      <w:tr>
        <w:tc>
          <w:tcPr>
            <w:tcW w:type="dxa" w:w="4703"/>
          </w:tcPr>
          <w:p>
            <w:r/>
            <w:r>
              <w:rPr>
                <w:rFonts w:ascii="Calibri" w:hAnsi="Calibri"/>
                <w:b w:val="0"/>
                <w:i w:val="0"/>
                <w:color w:val="000000"/>
                <w:sz w:val="18"/>
              </w:rPr>
              <w:t>Form</w:t>
            </w:r>
          </w:p>
        </w:tc>
        <w:tc>
          <w:tcPr>
            <w:tcW w:type="dxa" w:w="4703"/>
          </w:tcPr>
          <w:p>
            <w:r/>
            <w:r>
              <w:rPr>
                <w:rFonts w:ascii="Calibri" w:hAnsi="Calibri"/>
                <w:b w:val="0"/>
                <w:i w:val="0"/>
                <w:color w:val="000000"/>
                <w:sz w:val="18"/>
              </w:rPr>
              <w:t>Cash subscription / capital increase</w:t>
            </w:r>
          </w:p>
        </w:tc>
      </w:tr>
      <w:tr>
        <w:tc>
          <w:tcPr>
            <w:tcW w:type="dxa" w:w="4703"/>
          </w:tcPr>
          <w:p>
            <w:r/>
            <w:r>
              <w:rPr>
                <w:rFonts w:ascii="Calibri" w:hAnsi="Calibri"/>
                <w:b w:val="0"/>
                <w:i w:val="0"/>
                <w:color w:val="000000"/>
                <w:sz w:val="18"/>
              </w:rPr>
              <w:t>Valuation / shares</w:t>
            </w:r>
          </w:p>
        </w:tc>
        <w:tc>
          <w:tcPr>
            <w:tcW w:type="dxa" w:w="4703"/>
          </w:tcPr>
          <w:p>
            <w:r/>
            <w:r>
              <w:rPr>
                <w:rFonts w:ascii="Calibri" w:hAnsi="Calibri"/>
                <w:b w:val="0"/>
                <w:i w:val="0"/>
                <w:color w:val="000000"/>
                <w:sz w:val="18"/>
              </w:rPr>
              <w:t>[Per counsel and existing SHA]</w:t>
            </w:r>
          </w:p>
        </w:tc>
      </w:tr>
    </w:tbl>
    <w:p/>
    <w:p>
      <w:pPr>
        <w:spacing w:before="240"/>
      </w:pPr>
      <w:r>
        <w:rPr>
          <w:rFonts w:ascii="Calibri" w:hAnsi="Calibri"/>
          <w:b/>
          <w:i w:val="0"/>
          <w:color w:val="C9A432"/>
          <w:sz w:val="24"/>
        </w:rPr>
        <w:t>2. Premises &amp; in-kind (if relevant)</w:t>
      </w:r>
    </w:p>
    <w:p>
      <w:pPr>
        <w:pStyle w:val="ListBullet"/>
      </w:pPr>
      <w:r>
        <w:rPr>
          <w:rFonts w:ascii="Calibri" w:hAnsi="Calibri"/>
          <w:b w:val="0"/>
          <w:i w:val="0"/>
          <w:color w:val="000000"/>
          <w:sz w:val="20"/>
        </w:rPr>
        <w:t>Office and/or warehouse: If Founder provides premises, either (a) arm’s-length lease at €[6,700] / month or (b) documented contribution in kind with value and board approval — as counsel advises.</w:t>
      </w:r>
    </w:p>
    <w:p>
      <w:pPr>
        <w:pStyle w:val="ListBullet"/>
      </w:pPr>
      <w:r>
        <w:rPr>
          <w:rFonts w:ascii="Calibri" w:hAnsi="Calibri"/>
          <w:b w:val="0"/>
          <w:i w:val="0"/>
          <w:color w:val="000000"/>
          <w:sz w:val="20"/>
        </w:rPr>
        <w:t>Vehicle: Same — lease or documented benefit; tax treatment per accountant.</w:t>
      </w:r>
    </w:p>
    <w:p>
      <w:pPr>
        <w:spacing w:before="240"/>
      </w:pPr>
      <w:r>
        <w:rPr>
          <w:rFonts w:ascii="Calibri" w:hAnsi="Calibri"/>
          <w:b/>
          <w:i w:val="0"/>
          <w:color w:val="C9A432"/>
          <w:sz w:val="24"/>
        </w:rPr>
        <w:t>3. MD compensation (Founder acknowledges)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Element</w:t>
            </w:r>
          </w:p>
        </w:tc>
        <w:tc>
          <w:tcPr>
            <w:tcW w:type="dxa" w:w="4703"/>
            <w:shd w:fill="1A365D" w:val="clear"/>
          </w:tcPr>
          <w:p>
            <w:r/>
            <w:r>
              <w:rPr>
                <w:rFonts w:ascii="Calibri" w:hAnsi="Calibri"/>
                <w:b/>
                <w:i w:val="0"/>
                <w:color w:val="FFFFFF"/>
                <w:sz w:val="18"/>
              </w:rPr>
              <w:t>Mechanism</w:t>
            </w:r>
          </w:p>
        </w:tc>
      </w:tr>
      <w:tr>
        <w:tc>
          <w:tcPr>
            <w:tcW w:type="dxa" w:w="4703"/>
          </w:tcPr>
          <w:p>
            <w:r/>
            <w:r>
              <w:rPr>
                <w:rFonts w:ascii="Calibri" w:hAnsi="Calibri"/>
                <w:b w:val="0"/>
                <w:i w:val="0"/>
                <w:color w:val="000000"/>
                <w:sz w:val="18"/>
              </w:rPr>
              <w:t>Employment salary (pre-EPC)</w:t>
            </w:r>
          </w:p>
        </w:tc>
        <w:tc>
          <w:tcPr>
            <w:tcW w:type="dxa" w:w="4703"/>
          </w:tcPr>
          <w:p>
            <w:r/>
            <w:r>
              <w:rPr>
                <w:rFonts w:ascii="Calibri" w:hAnsi="Calibri"/>
                <w:b w:val="0"/>
                <w:i w:val="0"/>
                <w:color w:val="000000"/>
                <w:sz w:val="18"/>
              </w:rPr>
              <w:t>€2,000 net/month from 1 July 2025 — formalised in LCY-EMP-AP-2026-001; shareholder ratification LCY-SHR-EMP-2026-001</w:t>
            </w:r>
          </w:p>
        </w:tc>
      </w:tr>
      <w:tr>
        <w:tc>
          <w:tcPr>
            <w:tcW w:type="dxa" w:w="4703"/>
          </w:tcPr>
          <w:p>
            <w:r/>
            <w:r>
              <w:rPr>
                <w:rFonts w:ascii="Calibri" w:hAnsi="Calibri"/>
                <w:b w:val="0"/>
                <w:i w:val="0"/>
                <w:color w:val="000000"/>
                <w:sz w:val="18"/>
              </w:rPr>
              <w:t>Employment salary (from EPC sign)</w:t>
            </w:r>
          </w:p>
        </w:tc>
        <w:tc>
          <w:tcPr>
            <w:tcW w:type="dxa" w:w="4703"/>
          </w:tcPr>
          <w:p>
            <w:r/>
            <w:r>
              <w:rPr>
                <w:rFonts w:ascii="Calibri" w:hAnsi="Calibri"/>
                <w:b w:val="0"/>
                <w:i w:val="0"/>
                <w:color w:val="000000"/>
                <w:sz w:val="18"/>
              </w:rPr>
              <w:t>€5,000 gross/month from Galascope EPC Effective Date (signed &amp; stamped both parties)</w:t>
            </w:r>
          </w:p>
        </w:tc>
      </w:tr>
      <w:tr>
        <w:tc>
          <w:tcPr>
            <w:tcW w:type="dxa" w:w="4703"/>
          </w:tcPr>
          <w:p>
            <w:r/>
            <w:r>
              <w:rPr>
                <w:rFonts w:ascii="Calibri" w:hAnsi="Calibri"/>
                <w:b w:val="0"/>
                <w:i w:val="0"/>
                <w:color w:val="000000"/>
                <w:sz w:val="18"/>
              </w:rPr>
              <w:t>Introducer / commission</w:t>
            </w:r>
          </w:p>
        </w:tc>
        <w:tc>
          <w:tcPr>
            <w:tcW w:type="dxa" w:w="4703"/>
          </w:tcPr>
          <w:p>
            <w:r/>
            <w:r>
              <w:rPr>
                <w:rFonts w:ascii="Calibri" w:hAnsi="Calibri"/>
                <w:b w:val="0"/>
                <w:i w:val="0"/>
                <w:color w:val="000000"/>
                <w:sz w:val="18"/>
              </w:rPr>
              <w:t>Per Moi Ostrov agreement (LCY-MOI-TOCA-2026-001) only — no duplicate commission in this document</w:t>
            </w:r>
          </w:p>
        </w:tc>
      </w:tr>
      <w:tr>
        <w:tc>
          <w:tcPr>
            <w:tcW w:type="dxa" w:w="4703"/>
          </w:tcPr>
          <w:p>
            <w:r/>
            <w:r>
              <w:rPr>
                <w:rFonts w:ascii="Calibri" w:hAnsi="Calibri"/>
                <w:b w:val="0"/>
                <w:i w:val="0"/>
                <w:color w:val="000000"/>
                <w:sz w:val="18"/>
              </w:rPr>
              <w:t>Accrued / informal periods</w:t>
            </w:r>
          </w:p>
        </w:tc>
        <w:tc>
          <w:tcPr>
            <w:tcW w:type="dxa" w:w="4703"/>
          </w:tcPr>
          <w:p>
            <w:r/>
            <w:r>
              <w:rPr>
                <w:rFonts w:ascii="Calibri" w:hAnsi="Calibri"/>
                <w:b w:val="0"/>
                <w:i w:val="0"/>
                <w:color w:val="000000"/>
                <w:sz w:val="18"/>
              </w:rPr>
              <w:t>Ratified in shareholder employment resolution; payroll adviser to confirm gross equivalents for net periods</w:t>
            </w:r>
          </w:p>
        </w:tc>
      </w:tr>
      <w:tr>
        <w:tc>
          <w:tcPr>
            <w:tcW w:type="dxa" w:w="4703"/>
          </w:tcPr>
          <w:p>
            <w:r/>
            <w:r>
              <w:rPr>
                <w:rFonts w:ascii="Calibri" w:hAnsi="Calibri"/>
                <w:b w:val="0"/>
                <w:i w:val="0"/>
                <w:color w:val="000000"/>
                <w:sz w:val="18"/>
              </w:rPr>
              <w:t>Deferral</w:t>
            </w:r>
          </w:p>
        </w:tc>
        <w:tc>
          <w:tcPr>
            <w:tcW w:type="dxa" w:w="4703"/>
          </w:tcPr>
          <w:p>
            <w:r/>
            <w:r>
              <w:rPr>
                <w:rFonts w:ascii="Calibri" w:hAnsi="Calibri"/>
                <w:b w:val="0"/>
                <w:i w:val="0"/>
                <w:color w:val="000000"/>
                <w:sz w:val="18"/>
              </w:rPr>
              <w:t>Any deferral of salary documented as accrued liability in Company books</w:t>
            </w:r>
          </w:p>
        </w:tc>
      </w:tr>
    </w:tbl>
    <w:p/>
    <w:p>
      <w:pPr>
        <w:spacing w:before="240"/>
      </w:pPr>
      <w:r>
        <w:rPr>
          <w:rFonts w:ascii="Calibri" w:hAnsi="Calibri"/>
          <w:b/>
          <w:i w:val="0"/>
          <w:color w:val="C9A432"/>
          <w:sz w:val="24"/>
        </w:rPr>
        <w:t>4. Governance</w:t>
      </w:r>
    </w:p>
    <w:p>
      <w:pPr>
        <w:pStyle w:val="ListBullet"/>
      </w:pPr>
      <w:r>
        <w:rPr>
          <w:rFonts w:ascii="Calibri" w:hAnsi="Calibri"/>
          <w:b w:val="0"/>
          <w:i w:val="0"/>
          <w:color w:val="000000"/>
          <w:sz w:val="20"/>
        </w:rPr>
        <w:t>Board reporting: [Monthly] liquidity report to board / Founder during Client Contract execution phase.</w:t>
      </w:r>
    </w:p>
    <w:p>
      <w:pPr>
        <w:pStyle w:val="ListBullet"/>
      </w:pPr>
      <w:r>
        <w:rPr>
          <w:rFonts w:ascii="Calibri" w:hAnsi="Calibri"/>
          <w:b w:val="0"/>
          <w:i w:val="0"/>
          <w:color w:val="000000"/>
          <w:sz w:val="20"/>
        </w:rPr>
        <w:t>Reserved matters: [List: additional borrowings, guarantees above €X, new share issues — per counsel]</w:t>
      </w:r>
    </w:p>
    <w:p>
      <w:pPr>
        <w:spacing w:before="240"/>
      </w:pPr>
      <w:r>
        <w:rPr>
          <w:rFonts w:ascii="Calibri" w:hAnsi="Calibri"/>
          <w:b/>
          <w:i w:val="0"/>
          <w:color w:val="C9A432"/>
          <w:sz w:val="24"/>
        </w:rPr>
        <w:t>5. Condition precedent (optional — counsel to draft)</w:t>
      </w:r>
    </w:p>
    <w:p>
      <w:pPr>
        <w:jc w:val="both"/>
      </w:pPr>
      <w:r>
        <w:rPr>
          <w:rFonts w:ascii="Calibri" w:hAnsi="Calibri"/>
          <w:b w:val="0"/>
          <w:i w:val="0"/>
          <w:color w:val="000000"/>
          <w:sz w:val="20"/>
        </w:rPr>
        <w:t>Example:* Founder’s obligation to advance the loan / capital is conditional upon [Client Contract executed by [date] / MD remaining MD / other].</w:t>
      </w:r>
    </w:p>
    <w:p>
      <w:pPr>
        <w:jc w:val="both"/>
      </w:pPr>
      <w:r>
        <w:rPr>
          <w:rFonts w:ascii="Calibri" w:hAnsi="Calibri"/>
          <w:b w:val="0"/>
          <w:i w:val="0"/>
          <w:color w:val="000000"/>
          <w:sz w:val="20"/>
        </w:rPr>
        <w:t>Alternative:* Commitments are unconditional but MD’s recommendation to sign Client Contract is subject to separate board resolution.</w:t>
      </w:r>
    </w:p>
    <w:p>
      <w:pPr>
        <w:spacing w:before="240"/>
      </w:pPr>
      <w:r>
        <w:rPr>
          <w:rFonts w:ascii="Calibri" w:hAnsi="Calibri"/>
          <w:b/>
          <w:i w:val="0"/>
          <w:color w:val="C9A432"/>
          <w:sz w:val="24"/>
        </w:rPr>
        <w:t>6. Representations &amp; boilerplate (counsel to insert)</w:t>
      </w:r>
    </w:p>
    <w:p>
      <w:pPr>
        <w:pStyle w:val="ListBullet"/>
      </w:pPr>
      <w:r>
        <w:rPr>
          <w:rFonts w:ascii="Calibri" w:hAnsi="Calibri"/>
          <w:b w:val="0"/>
          <w:i w:val="0"/>
          <w:color w:val="000000"/>
          <w:sz w:val="20"/>
        </w:rPr>
        <w:t>Authority to bind Company; Founder capacity; no conflict with existing SHA; governing law Republic of Cyprus; jurisdiction [Cyprus courts / arbitration]; confidentiality; entire agreement; counterparts.</w:t>
      </w:r>
    </w:p>
    <w:p>
      <w:pPr>
        <w:spacing w:before="240"/>
      </w:pPr>
      <w:r>
        <w:rPr>
          <w:rFonts w:ascii="Calibri" w:hAnsi="Calibri"/>
          <w:b/>
          <w:i w:val="0"/>
          <w:color w:val="C9A432"/>
          <w:sz w:val="24"/>
        </w:rPr>
        <w:t>7. Cross-reference — equity participation</w:t>
      </w:r>
    </w:p>
    <w:p>
      <w:pPr>
        <w:jc w:val="both"/>
      </w:pPr>
      <w:r>
        <w:rPr>
          <w:rFonts w:ascii="Calibri" w:hAnsi="Calibri"/>
          <w:b w:val="0"/>
          <w:i w:val="0"/>
          <w:color w:val="000000"/>
          <w:sz w:val="20"/>
        </w:rPr>
        <w:t>The MD equity participation package (EPC 10% + 10%, investor 15% equity cap, 30% share sale fee, dividend lock) is set out in `DRAFT-EQUITY-PARTICIPATION-SIDE-LETTER.md` (ref LCY-MD-EQ-2026-001). Option A runway terms are independent.</w:t>
      </w:r>
    </w:p>
    <w:p>
      <w:pPr>
        <w:spacing w:before="240"/>
      </w:pPr>
      <w:r>
        <w:rPr>
          <w:rFonts w:ascii="Calibri" w:hAnsi="Calibri"/>
          <w:b/>
          <w:i w:val="0"/>
          <w:color w:val="C9A432"/>
          <w:sz w:val="24"/>
        </w:rPr>
        <w:t>8. MD equity participation package (EPC 10% + 10%, investor cap 15%)</w:t>
      </w:r>
    </w:p>
    <w:p>
      <w:pPr>
        <w:jc w:val="both"/>
      </w:pPr>
      <w:r>
        <w:rPr>
          <w:rFonts w:ascii="Calibri" w:hAnsi="Calibri"/>
          <w:b w:val="0"/>
          <w:i w:val="0"/>
          <w:color w:val="000000"/>
          <w:sz w:val="20"/>
        </w:rPr>
        <w:t>Use when: Founder has verbally agreed: (i) 10% equity on Galascope EPC signing, (ii) another 10% on Esperia EPC signing ( 20% max on delivery path), (iii) if a third-party investor closes and subscription cash is shared with MD, 30% participation fee on that cash but MD equity capped at 15% total, and (iv) no dividends for 3 years.</w:t>
      </w:r>
    </w:p>
    <w:p>
      <w:pPr>
        <w:jc w:val="both"/>
      </w:pPr>
      <w:r>
        <w:rPr>
          <w:rFonts w:ascii="Calibri" w:hAnsi="Calibri"/>
          <w:b w:val="0"/>
          <w:i w:val="0"/>
          <w:color w:val="000000"/>
          <w:sz w:val="20"/>
        </w:rPr>
        <w:t>Full draft: `DRAFT-EQUITY-PARTICIPATION-SIDE-LETTER.md` — counsel converts to executable side letter + SHA amendment.</w:t>
      </w:r>
    </w:p>
    <w:p>
      <w:pPr>
        <w:jc w:val="both"/>
      </w:pPr>
      <w:r>
        <w:rPr>
          <w:rFonts w:ascii="Calibri" w:hAnsi="Calibri"/>
          <w:b w:val="0"/>
          <w:i w:val="0"/>
          <w:color w:val="000000"/>
          <w:sz w:val="20"/>
        </w:rPr>
        <w:t>Separate from Moi Ostrov commission (30% Net Margin on EPC). Both can coexist — different bases.</w:t>
      </w:r>
    </w:p>
    <w:p>
      <w:r>
        <w:rPr>
          <w:rFonts w:ascii="Calibri" w:hAnsi="Calibri"/>
          <w:b/>
          <w:i w:val="0"/>
          <w:color w:val="1A365D"/>
          <w:sz w:val="22"/>
        </w:rPr>
        <w:t>8.1 Economics (founder proposal — May 2026)</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Track</w:t>
            </w:r>
          </w:p>
        </w:tc>
        <w:tc>
          <w:tcPr>
            <w:tcW w:type="dxa" w:w="2351"/>
            <w:shd w:fill="1A365D" w:val="clear"/>
          </w:tcPr>
          <w:p>
            <w:r/>
            <w:r>
              <w:rPr>
                <w:rFonts w:ascii="Calibri" w:hAnsi="Calibri"/>
                <w:b/>
                <w:i w:val="0"/>
                <w:color w:val="FFFFFF"/>
                <w:sz w:val="18"/>
              </w:rPr>
              <w:t>Trigger</w:t>
            </w:r>
          </w:p>
        </w:tc>
        <w:tc>
          <w:tcPr>
            <w:tcW w:type="dxa" w:w="2351"/>
            <w:shd w:fill="1A365D" w:val="clear"/>
          </w:tcPr>
          <w:p>
            <w:r/>
            <w:r>
              <w:rPr>
                <w:rFonts w:ascii="Calibri" w:hAnsi="Calibri"/>
                <w:b/>
                <w:i w:val="0"/>
                <w:color w:val="FFFFFF"/>
                <w:sz w:val="18"/>
              </w:rPr>
              <w:t>MD equity</w:t>
            </w:r>
          </w:p>
        </w:tc>
        <w:tc>
          <w:tcPr>
            <w:tcW w:type="dxa" w:w="2351"/>
            <w:shd w:fill="1A365D" w:val="clear"/>
          </w:tcPr>
          <w:p>
            <w:r/>
            <w:r>
              <w:rPr>
                <w:rFonts w:ascii="Calibri" w:hAnsi="Calibri"/>
                <w:b/>
                <w:i w:val="0"/>
                <w:color w:val="FFFFFF"/>
                <w:sz w:val="18"/>
              </w:rPr>
              <w:t>MD cash</w:t>
            </w:r>
          </w:p>
        </w:tc>
      </w:tr>
      <w:tr>
        <w:tc>
          <w:tcPr>
            <w:tcW w:type="dxa" w:w="2351"/>
          </w:tcPr>
          <w:p>
            <w:r/>
            <w:r>
              <w:rPr>
                <w:rFonts w:ascii="Calibri" w:hAnsi="Calibri"/>
                <w:b w:val="0"/>
                <w:i w:val="0"/>
                <w:color w:val="000000"/>
                <w:sz w:val="18"/>
              </w:rPr>
              <w:t>EPC — Galascope</w:t>
            </w:r>
          </w:p>
        </w:tc>
        <w:tc>
          <w:tcPr>
            <w:tcW w:type="dxa" w:w="2351"/>
          </w:tcPr>
          <w:p>
            <w:r/>
            <w:r>
              <w:rPr>
                <w:rFonts w:ascii="Calibri" w:hAnsi="Calibri"/>
                <w:b w:val="0"/>
                <w:i w:val="0"/>
                <w:color w:val="000000"/>
                <w:sz w:val="18"/>
              </w:rPr>
              <w:t>Galascope EPC signed &amp; stamped</w:t>
            </w:r>
          </w:p>
        </w:tc>
        <w:tc>
          <w:tcPr>
            <w:tcW w:type="dxa" w:w="2351"/>
          </w:tcPr>
          <w:p>
            <w:r/>
            <w:r>
              <w:rPr>
                <w:rFonts w:ascii="Calibri" w:hAnsi="Calibri"/>
                <w:b w:val="0"/>
                <w:i w:val="0"/>
                <w:color w:val="000000"/>
                <w:sz w:val="18"/>
              </w:rPr>
              <w:t>10%</w:t>
            </w:r>
          </w:p>
        </w:tc>
        <w:tc>
          <w:tcPr>
            <w:tcW w:type="dxa" w:w="2351"/>
          </w:tcPr>
          <w:p>
            <w:r/>
            <w:r>
              <w:rPr>
                <w:rFonts w:ascii="Calibri" w:hAnsi="Calibri"/>
                <w:b w:val="0"/>
                <w:i w:val="0"/>
                <w:color w:val="000000"/>
                <w:sz w:val="18"/>
              </w:rPr>
              <w:t>—</w:t>
            </w:r>
          </w:p>
        </w:tc>
      </w:tr>
      <w:tr>
        <w:tc>
          <w:tcPr>
            <w:tcW w:type="dxa" w:w="2351"/>
          </w:tcPr>
          <w:p>
            <w:r/>
            <w:r>
              <w:rPr>
                <w:rFonts w:ascii="Calibri" w:hAnsi="Calibri"/>
                <w:b w:val="0"/>
                <w:i w:val="0"/>
                <w:color w:val="000000"/>
                <w:sz w:val="18"/>
              </w:rPr>
              <w:t>EPC — Esperia</w:t>
            </w:r>
          </w:p>
        </w:tc>
        <w:tc>
          <w:tcPr>
            <w:tcW w:type="dxa" w:w="2351"/>
          </w:tcPr>
          <w:p>
            <w:r/>
            <w:r>
              <w:rPr>
                <w:rFonts w:ascii="Calibri" w:hAnsi="Calibri"/>
                <w:b w:val="0"/>
                <w:i w:val="0"/>
                <w:color w:val="000000"/>
                <w:sz w:val="18"/>
              </w:rPr>
              <w:t>Esperia EPC signed &amp; stamped</w:t>
            </w:r>
          </w:p>
        </w:tc>
        <w:tc>
          <w:tcPr>
            <w:tcW w:type="dxa" w:w="2351"/>
          </w:tcPr>
          <w:p>
            <w:r/>
            <w:r>
              <w:rPr>
                <w:rFonts w:ascii="Calibri" w:hAnsi="Calibri"/>
                <w:b w:val="0"/>
                <w:i w:val="0"/>
                <w:color w:val="000000"/>
                <w:sz w:val="18"/>
              </w:rPr>
              <w:t>+10% ( 20% cumulative )</w:t>
            </w:r>
          </w:p>
        </w:tc>
        <w:tc>
          <w:tcPr>
            <w:tcW w:type="dxa" w:w="2351"/>
          </w:tcPr>
          <w:p>
            <w:r/>
            <w:r>
              <w:rPr>
                <w:rFonts w:ascii="Calibri" w:hAnsi="Calibri"/>
                <w:b w:val="0"/>
                <w:i w:val="0"/>
                <w:color w:val="000000"/>
                <w:sz w:val="18"/>
              </w:rPr>
              <w:t>—</w:t>
            </w:r>
          </w:p>
        </w:tc>
      </w:tr>
      <w:tr>
        <w:tc>
          <w:tcPr>
            <w:tcW w:type="dxa" w:w="2351"/>
          </w:tcPr>
          <w:p>
            <w:r/>
            <w:r>
              <w:rPr>
                <w:rFonts w:ascii="Calibri" w:hAnsi="Calibri"/>
                <w:b w:val="0"/>
                <w:i w:val="0"/>
                <w:color w:val="000000"/>
                <w:sz w:val="18"/>
              </w:rPr>
              <w:t>Investor</w:t>
            </w:r>
          </w:p>
        </w:tc>
        <w:tc>
          <w:tcPr>
            <w:tcW w:type="dxa" w:w="2351"/>
          </w:tcPr>
          <w:p>
            <w:r/>
            <w:r>
              <w:rPr>
                <w:rFonts w:ascii="Calibri" w:hAnsi="Calibri"/>
                <w:b w:val="0"/>
                <w:i w:val="0"/>
                <w:color w:val="000000"/>
                <w:sz w:val="18"/>
              </w:rPr>
              <w:t>Qualifying Equity Closing</w:t>
            </w:r>
          </w:p>
        </w:tc>
        <w:tc>
          <w:tcPr>
            <w:tcW w:type="dxa" w:w="2351"/>
          </w:tcPr>
          <w:p>
            <w:r/>
            <w:r>
              <w:rPr>
                <w:rFonts w:ascii="Calibri" w:hAnsi="Calibri"/>
                <w:b w:val="0"/>
                <w:i w:val="0"/>
                <w:color w:val="000000"/>
                <w:sz w:val="18"/>
              </w:rPr>
              <w:t>≤15% total (EPC grants count toward cap)</w:t>
            </w:r>
          </w:p>
        </w:tc>
        <w:tc>
          <w:tcPr>
            <w:tcW w:type="dxa" w:w="2351"/>
          </w:tcPr>
          <w:p>
            <w:r/>
            <w:r>
              <w:rPr>
                <w:rFonts w:ascii="Calibri" w:hAnsi="Calibri"/>
                <w:b w:val="0"/>
                <w:i w:val="0"/>
                <w:color w:val="000000"/>
                <w:sz w:val="18"/>
              </w:rPr>
              <w:t>30% × subscription cash</w:t>
            </w:r>
          </w:p>
        </w:tc>
      </w:tr>
    </w:tbl>
    <w:p/>
    <w:p>
      <w:pPr>
        <w:jc w:val="both"/>
      </w:pPr>
      <w:r>
        <w:rPr>
          <w:rFonts w:ascii="Calibri" w:hAnsi="Calibri"/>
          <w:b w:val="0"/>
          <w:i w:val="0"/>
          <w:color w:val="000000"/>
          <w:sz w:val="20"/>
        </w:rPr>
        <w:t>Replaces prior “25% pool minus sold” / longstop fallback model.</w:t>
      </w:r>
    </w:p>
    <w:p>
      <w:r>
        <w:rPr>
          <w:rFonts w:ascii="Calibri" w:hAnsi="Calibri"/>
          <w:b/>
          <w:i w:val="0"/>
          <w:color w:val="1A365D"/>
          <w:sz w:val="22"/>
        </w:rPr>
        <w:t>8.2 Examples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Outcome</w:t>
            </w:r>
          </w:p>
        </w:tc>
        <w:tc>
          <w:tcPr>
            <w:tcW w:type="dxa" w:w="3135"/>
            <w:shd w:fill="1A365D" w:val="clear"/>
          </w:tcPr>
          <w:p>
            <w:r/>
            <w:r>
              <w:rPr>
                <w:rFonts w:ascii="Calibri" w:hAnsi="Calibri"/>
                <w:b/>
                <w:i w:val="0"/>
                <w:color w:val="FFFFFF"/>
                <w:sz w:val="18"/>
              </w:rPr>
              <w:t>MD shares</w:t>
            </w:r>
          </w:p>
        </w:tc>
        <w:tc>
          <w:tcPr>
            <w:tcW w:type="dxa" w:w="3135"/>
            <w:shd w:fill="1A365D" w:val="clear"/>
          </w:tcPr>
          <w:p>
            <w:r/>
            <w:r>
              <w:rPr>
                <w:rFonts w:ascii="Calibri" w:hAnsi="Calibri"/>
                <w:b/>
                <w:i w:val="0"/>
                <w:color w:val="FFFFFF"/>
                <w:sz w:val="18"/>
              </w:rPr>
              <w:t>MD cash</w:t>
            </w:r>
          </w:p>
        </w:tc>
      </w:tr>
      <w:tr>
        <w:tc>
          <w:tcPr>
            <w:tcW w:type="dxa" w:w="3135"/>
          </w:tcPr>
          <w:p>
            <w:r/>
            <w:r>
              <w:rPr>
                <w:rFonts w:ascii="Calibri" w:hAnsi="Calibri"/>
                <w:b w:val="0"/>
                <w:i w:val="0"/>
                <w:color w:val="000000"/>
                <w:sz w:val="18"/>
              </w:rPr>
              <w:t>Galascope EPC only</w:t>
            </w:r>
          </w:p>
        </w:tc>
        <w:tc>
          <w:tcPr>
            <w:tcW w:type="dxa" w:w="3135"/>
          </w:tcPr>
          <w:p>
            <w:r/>
            <w:r>
              <w:rPr>
                <w:rFonts w:ascii="Calibri" w:hAnsi="Calibri"/>
                <w:b w:val="0"/>
                <w:i w:val="0"/>
                <w:color w:val="000000"/>
                <w:sz w:val="18"/>
              </w:rPr>
              <w:t>10%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Galascope + Esperia EPC, no investor</w:t>
            </w:r>
          </w:p>
        </w:tc>
        <w:tc>
          <w:tcPr>
            <w:tcW w:type="dxa" w:w="3135"/>
          </w:tcPr>
          <w:p>
            <w:r/>
            <w:r>
              <w:rPr>
                <w:rFonts w:ascii="Calibri" w:hAnsi="Calibri"/>
                <w:b w:val="0"/>
                <w:i w:val="0"/>
                <w:color w:val="000000"/>
                <w:sz w:val="18"/>
              </w:rPr>
              <w:t>20%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Investor €500k / 12.5% (no EPC grants yet)</w:t>
            </w:r>
          </w:p>
        </w:tc>
        <w:tc>
          <w:tcPr>
            <w:tcW w:type="dxa" w:w="3135"/>
          </w:tcPr>
          <w:p>
            <w:r/>
            <w:r>
              <w:rPr>
                <w:rFonts w:ascii="Calibri" w:hAnsi="Calibri"/>
                <w:b w:val="0"/>
                <w:i w:val="0"/>
                <w:color w:val="000000"/>
                <w:sz w:val="18"/>
              </w:rPr>
              <w:t>up to 15%</w:t>
            </w:r>
          </w:p>
        </w:tc>
        <w:tc>
          <w:tcPr>
            <w:tcW w:type="dxa" w:w="3135"/>
          </w:tcPr>
          <w:p>
            <w:r/>
            <w:r>
              <w:rPr>
                <w:rFonts w:ascii="Calibri" w:hAnsi="Calibri"/>
                <w:b w:val="0"/>
                <w:i w:val="0"/>
                <w:color w:val="000000"/>
                <w:sz w:val="18"/>
              </w:rPr>
              <w:t>€150,000</w:t>
            </w:r>
          </w:p>
        </w:tc>
      </w:tr>
      <w:tr>
        <w:tc>
          <w:tcPr>
            <w:tcW w:type="dxa" w:w="3135"/>
          </w:tcPr>
          <w:p>
            <w:r/>
            <w:r>
              <w:rPr>
                <w:rFonts w:ascii="Calibri" w:hAnsi="Calibri"/>
                <w:b w:val="0"/>
                <w:i w:val="0"/>
                <w:color w:val="000000"/>
                <w:sz w:val="18"/>
              </w:rPr>
              <w:t>Galascope (10%) then investor 12.5%</w:t>
            </w:r>
          </w:p>
        </w:tc>
        <w:tc>
          <w:tcPr>
            <w:tcW w:type="dxa" w:w="3135"/>
          </w:tcPr>
          <w:p>
            <w:r/>
            <w:r>
              <w:rPr>
                <w:rFonts w:ascii="Calibri" w:hAnsi="Calibri"/>
                <w:b w:val="0"/>
                <w:i w:val="0"/>
                <w:color w:val="000000"/>
                <w:sz w:val="18"/>
              </w:rPr>
              <w:t>15% max (+5% not +10% Esperia)</w:t>
            </w:r>
          </w:p>
        </w:tc>
        <w:tc>
          <w:tcPr>
            <w:tcW w:type="dxa" w:w="3135"/>
          </w:tcPr>
          <w:p>
            <w:r/>
            <w:r>
              <w:rPr>
                <w:rFonts w:ascii="Calibri" w:hAnsi="Calibri"/>
                <w:b w:val="0"/>
                <w:i w:val="0"/>
                <w:color w:val="000000"/>
                <w:sz w:val="18"/>
              </w:rPr>
              <w:t>€150,000</w:t>
            </w:r>
          </w:p>
        </w:tc>
      </w:tr>
      <w:tr>
        <w:tc>
          <w:tcPr>
            <w:tcW w:type="dxa" w:w="3135"/>
          </w:tcPr>
          <w:p>
            <w:r/>
            <w:r>
              <w:rPr>
                <w:rFonts w:ascii="Calibri" w:hAnsi="Calibri"/>
                <w:b w:val="0"/>
                <w:i w:val="0"/>
                <w:color w:val="000000"/>
                <w:sz w:val="18"/>
              </w:rPr>
              <w:t>Investor €1M / 25%</w:t>
            </w:r>
          </w:p>
        </w:tc>
        <w:tc>
          <w:tcPr>
            <w:tcW w:type="dxa" w:w="3135"/>
          </w:tcPr>
          <w:p>
            <w:r/>
            <w:r>
              <w:rPr>
                <w:rFonts w:ascii="Calibri" w:hAnsi="Calibri"/>
                <w:b w:val="0"/>
                <w:i w:val="0"/>
                <w:color w:val="000000"/>
                <w:sz w:val="18"/>
              </w:rPr>
              <w:t>≤15% equity</w:t>
            </w:r>
          </w:p>
        </w:tc>
        <w:tc>
          <w:tcPr>
            <w:tcW w:type="dxa" w:w="3135"/>
          </w:tcPr>
          <w:p>
            <w:r/>
            <w:r>
              <w:rPr>
                <w:rFonts w:ascii="Calibri" w:hAnsi="Calibri"/>
                <w:b w:val="0"/>
                <w:i w:val="0"/>
                <w:color w:val="000000"/>
                <w:sz w:val="18"/>
              </w:rPr>
              <w:t>€300,000 fee</w:t>
            </w:r>
          </w:p>
        </w:tc>
      </w:tr>
    </w:tbl>
    <w:p/>
    <w:p>
      <w:r>
        <w:rPr>
          <w:rFonts w:ascii="Calibri" w:hAnsi="Calibri"/>
          <w:b/>
          <w:i w:val="0"/>
          <w:color w:val="1A365D"/>
          <w:sz w:val="22"/>
        </w:rPr>
        <w:t>8.3 Payor — investor fee</w:t>
      </w:r>
    </w:p>
    <w:p>
      <w:pPr>
        <w:jc w:val="both"/>
      </w:pPr>
      <w:r>
        <w:rPr>
          <w:rFonts w:ascii="Calibri" w:hAnsi="Calibri"/>
          <w:b w:val="0"/>
          <w:i w:val="0"/>
          <w:color w:val="000000"/>
          <w:sz w:val="20"/>
        </w:rPr>
        <w:t>Preferred: Founder / Lighthief International pays the 30% fee — investor cash stays in Company for delivery.</w:t>
      </w:r>
    </w:p>
    <w:p>
      <w:r>
        <w:rPr>
          <w:rFonts w:ascii="Calibri" w:hAnsi="Calibri"/>
          <w:b/>
          <w:i w:val="0"/>
          <w:color w:val="1A365D"/>
          <w:sz w:val="22"/>
        </w:rPr>
        <w:t>8.4 Three-year dividend lock</w:t>
      </w:r>
    </w:p>
    <w:p>
      <w:pPr>
        <w:jc w:val="both"/>
      </w:pPr>
      <w:r>
        <w:rPr>
          <w:rFonts w:ascii="Calibri" w:hAnsi="Calibri"/>
          <w:b w:val="0"/>
          <w:i w:val="0"/>
          <w:color w:val="000000"/>
          <w:sz w:val="20"/>
        </w:rPr>
        <w:t>From first EPC grant or first investor closing: no dividends for 36 months (carve-outs: Moi Ostrov fees, payroll, project COGS, scheduled loans).</w:t>
      </w:r>
    </w:p>
    <w:p>
      <w:r>
        <w:rPr>
          <w:rFonts w:ascii="Calibri" w:hAnsi="Calibri"/>
          <w:b/>
          <w:i w:val="0"/>
          <w:color w:val="1A365D"/>
          <w:sz w:val="22"/>
        </w:rPr>
        <w:t>8.5 Signing sequence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When</w:t>
            </w:r>
          </w:p>
        </w:tc>
        <w:tc>
          <w:tcPr>
            <w:tcW w:type="dxa" w:w="4703"/>
            <w:shd w:fill="1A365D" w:val="clear"/>
          </w:tcPr>
          <w:p>
            <w:r/>
            <w:r>
              <w:rPr>
                <w:rFonts w:ascii="Calibri" w:hAnsi="Calibri"/>
                <w:b/>
                <w:i w:val="0"/>
                <w:color w:val="FFFFFF"/>
                <w:sz w:val="18"/>
              </w:rPr>
              <w:t>Action</w:t>
            </w:r>
          </w:p>
        </w:tc>
      </w:tr>
      <w:tr>
        <w:tc>
          <w:tcPr>
            <w:tcW w:type="dxa" w:w="4703"/>
          </w:tcPr>
          <w:p>
            <w:r/>
            <w:r>
              <w:rPr>
                <w:rFonts w:ascii="Calibri" w:hAnsi="Calibri"/>
                <w:b w:val="0"/>
                <w:i w:val="0"/>
                <w:color w:val="000000"/>
                <w:sz w:val="18"/>
              </w:rPr>
              <w:t>Founder pack (now)</w:t>
            </w:r>
          </w:p>
        </w:tc>
        <w:tc>
          <w:tcPr>
            <w:tcW w:type="dxa" w:w="4703"/>
          </w:tcPr>
          <w:p>
            <w:r/>
            <w:r>
              <w:rPr>
                <w:rFonts w:ascii="Calibri" w:hAnsi="Calibri"/>
                <w:b w:val="0"/>
                <w:i w:val="0"/>
                <w:color w:val="000000"/>
                <w:sz w:val="18"/>
              </w:rPr>
              <w:t>Heads in Option A + side letter draft</w:t>
            </w:r>
          </w:p>
        </w:tc>
      </w:tr>
      <w:tr>
        <w:tc>
          <w:tcPr>
            <w:tcW w:type="dxa" w:w="4703"/>
          </w:tcPr>
          <w:p>
            <w:r/>
            <w:r>
              <w:rPr>
                <w:rFonts w:ascii="Calibri" w:hAnsi="Calibri"/>
                <w:b w:val="0"/>
                <w:i w:val="0"/>
                <w:color w:val="000000"/>
                <w:sz w:val="18"/>
              </w:rPr>
              <w:t>Galascope EPC</w:t>
            </w:r>
          </w:p>
        </w:tc>
        <w:tc>
          <w:tcPr>
            <w:tcW w:type="dxa" w:w="4703"/>
          </w:tcPr>
          <w:p>
            <w:r/>
            <w:r>
              <w:rPr>
                <w:rFonts w:ascii="Calibri" w:hAnsi="Calibri"/>
                <w:b w:val="0"/>
                <w:i w:val="0"/>
                <w:color w:val="000000"/>
                <w:sz w:val="18"/>
              </w:rPr>
              <w:t>EPC Milestone Grant A (10%) + €5k gross salary</w:t>
            </w:r>
          </w:p>
        </w:tc>
      </w:tr>
      <w:tr>
        <w:tc>
          <w:tcPr>
            <w:tcW w:type="dxa" w:w="4703"/>
          </w:tcPr>
          <w:p>
            <w:r/>
            <w:r>
              <w:rPr>
                <w:rFonts w:ascii="Calibri" w:hAnsi="Calibri"/>
                <w:b w:val="0"/>
                <w:i w:val="0"/>
                <w:color w:val="000000"/>
                <w:sz w:val="18"/>
              </w:rPr>
              <w:t>Esperia EPC</w:t>
            </w:r>
          </w:p>
        </w:tc>
        <w:tc>
          <w:tcPr>
            <w:tcW w:type="dxa" w:w="4703"/>
          </w:tcPr>
          <w:p>
            <w:r/>
            <w:r>
              <w:rPr>
                <w:rFonts w:ascii="Calibri" w:hAnsi="Calibri"/>
                <w:b w:val="0"/>
                <w:i w:val="0"/>
                <w:color w:val="000000"/>
                <w:sz w:val="18"/>
              </w:rPr>
              <w:t>EPC Milestone Grant B (10%) if investor cap allows</w:t>
            </w:r>
          </w:p>
        </w:tc>
      </w:tr>
      <w:tr>
        <w:tc>
          <w:tcPr>
            <w:tcW w:type="dxa" w:w="4703"/>
          </w:tcPr>
          <w:p>
            <w:r/>
            <w:r>
              <w:rPr>
                <w:rFonts w:ascii="Calibri" w:hAnsi="Calibri"/>
                <w:b w:val="0"/>
                <w:i w:val="0"/>
                <w:color w:val="000000"/>
                <w:sz w:val="18"/>
              </w:rPr>
              <w:t>Before investor close</w:t>
            </w:r>
          </w:p>
        </w:tc>
        <w:tc>
          <w:tcPr>
            <w:tcW w:type="dxa" w:w="4703"/>
          </w:tcPr>
          <w:p>
            <w:r/>
            <w:r>
              <w:rPr>
                <w:rFonts w:ascii="Calibri" w:hAnsi="Calibri"/>
                <w:b w:val="0"/>
                <w:i w:val="0"/>
                <w:color w:val="000000"/>
                <w:sz w:val="18"/>
              </w:rPr>
              <w:t>Executed side letter; disclose to investor under NDA</w:t>
            </w:r>
          </w:p>
        </w:tc>
      </w:tr>
      <w:tr>
        <w:tc>
          <w:tcPr>
            <w:tcW w:type="dxa" w:w="4703"/>
          </w:tcPr>
          <w:p>
            <w:r/>
            <w:r>
              <w:rPr>
                <w:rFonts w:ascii="Calibri" w:hAnsi="Calibri"/>
                <w:b w:val="0"/>
                <w:i w:val="0"/>
                <w:color w:val="000000"/>
                <w:sz w:val="18"/>
              </w:rPr>
              <w:t>Investor tranche</w:t>
            </w:r>
          </w:p>
        </w:tc>
        <w:tc>
          <w:tcPr>
            <w:tcW w:type="dxa" w:w="4703"/>
          </w:tcPr>
          <w:p>
            <w:r/>
            <w:r>
              <w:rPr>
                <w:rFonts w:ascii="Calibri" w:hAnsi="Calibri"/>
                <w:b w:val="0"/>
                <w:i w:val="0"/>
                <w:color w:val="000000"/>
                <w:sz w:val="18"/>
              </w:rPr>
              <w:t>30% fee; equity stays ≤15%</w:t>
            </w:r>
          </w:p>
        </w:tc>
      </w:tr>
    </w:tbl>
    <w:p/>
    <w:p>
      <w:pPr>
        <w:spacing w:before="240"/>
      </w:pPr>
      <w:r>
        <w:rPr>
          <w:rFonts w:ascii="Calibri" w:hAnsi="Calibri"/>
          <w:b/>
          <w:i w:val="0"/>
          <w:color w:val="C9A432"/>
          <w:sz w:val="24"/>
        </w:rPr>
        <w:t>9. Signature block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Party</w:t>
            </w:r>
          </w:p>
        </w:tc>
        <w:tc>
          <w:tcPr>
            <w:tcW w:type="dxa" w:w="2351"/>
            <w:shd w:fill="1A365D" w:val="clear"/>
          </w:tcPr>
          <w:p>
            <w:r/>
            <w:r>
              <w:rPr>
                <w:rFonts w:ascii="Calibri" w:hAnsi="Calibri"/>
                <w:b/>
                <w:i w:val="0"/>
                <w:color w:val="FFFFFF"/>
                <w:sz w:val="18"/>
              </w:rPr>
              <w:t>Name</w:t>
            </w:r>
          </w:p>
        </w:tc>
        <w:tc>
          <w:tcPr>
            <w:tcW w:type="dxa" w:w="2351"/>
            <w:shd w:fill="1A365D" w:val="clear"/>
          </w:tcPr>
          <w:p>
            <w:r/>
            <w:r>
              <w:rPr>
                <w:rFonts w:ascii="Calibri" w:hAnsi="Calibri"/>
                <w:b/>
                <w:i w:val="0"/>
                <w:color w:val="FFFFFF"/>
                <w:sz w:val="18"/>
              </w:rPr>
              <w:t>Signature</w:t>
            </w:r>
          </w:p>
        </w:tc>
        <w:tc>
          <w:tcPr>
            <w:tcW w:type="dxa" w:w="2351"/>
            <w:shd w:fill="1A365D" w:val="clear"/>
          </w:tcPr>
          <w:p>
            <w:r/>
            <w:r>
              <w:rPr>
                <w:rFonts w:ascii="Calibri" w:hAnsi="Calibri"/>
                <w:b/>
                <w:i w:val="0"/>
                <w:color w:val="FFFFFF"/>
                <w:sz w:val="18"/>
              </w:rPr>
              <w:t>Date</w:t>
            </w:r>
          </w:p>
        </w:tc>
      </w:tr>
      <w:tr>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Lighthief Cyprus Ltd</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r>
        <w:tc>
          <w:tcPr>
            <w:tcW w:type="dxa" w:w="2351"/>
          </w:tcPr>
          <w:p>
            <w:r/>
            <w:r>
              <w:rPr>
                <w:rFonts w:ascii="Calibri" w:hAnsi="Calibri"/>
                <w:b w:val="0"/>
                <w:i w:val="0"/>
                <w:color w:val="000000"/>
                <w:sz w:val="18"/>
              </w:rPr>
              <w:t>Founder</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r>
        <w:tc>
          <w:tcPr>
            <w:tcW w:type="dxa" w:w="2351"/>
          </w:tcPr>
          <w:p>
            <w:r/>
            <w:r>
              <w:rPr>
                <w:rFonts w:ascii="Calibri" w:hAnsi="Calibri"/>
                <w:b w:val="0"/>
                <w:i w:val="0"/>
                <w:color w:val="000000"/>
                <w:sz w:val="18"/>
              </w:rPr>
              <w:t>MD (if signing in personal capacity — as advised)</w:t>
            </w:r>
          </w:p>
        </w:tc>
        <w:tc>
          <w:tcPr>
            <w:tcW w:type="dxa" w:w="2351"/>
          </w:tcPr>
          <w:p>
            <w:r/>
            <w:r>
              <w:rPr>
                <w:rFonts w:ascii="Calibri" w:hAnsi="Calibri"/>
                <w:b w:val="0"/>
                <w:i w:val="0"/>
                <w:color w:val="000000"/>
                <w:sz w:val="18"/>
              </w:rPr>
              <w:t>Alexander Papacosta</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bl>
    <w:p/>
    <w:p>
      <w:pPr>
        <w:jc w:val="both"/>
      </w:pPr>
      <w:r>
        <w:rPr>
          <w:rFonts w:ascii="Calibri" w:hAnsi="Calibri"/>
          <w:b w:val="0"/>
          <w:i w:val="0"/>
          <w:color w:val="000000"/>
          <w:sz w:val="20"/>
        </w:rPr>
        <w:t>Annex A: Cashflow summary (attach spreadsheet)</w:t>
      </w:r>
    </w:p>
    <w:p>
      <w:pPr>
        <w:jc w:val="both"/>
      </w:pPr>
      <w:r>
        <w:rPr>
          <w:rFonts w:ascii="Calibri" w:hAnsi="Calibri"/>
          <w:b w:val="0"/>
          <w:i w:val="0"/>
          <w:color w:val="000000"/>
          <w:sz w:val="20"/>
        </w:rPr>
        <w:t>Annex B: Accrued MD compensation schedule (if any)</w:t>
      </w:r>
    </w:p>
    <w:p>
      <w:pPr>
        <w:jc w:val="both"/>
      </w:pPr>
      <w:r>
        <w:rPr>
          <w:rFonts w:ascii="Calibri" w:hAnsi="Calibri"/>
          <w:b w:val="0"/>
          <w:i w:val="0"/>
          <w:color w:val="000000"/>
          <w:sz w:val="20"/>
        </w:rPr>
        <w:t>End of draft — Option A. Not for use without legal review.</w:t>
      </w:r>
    </w:p>
    <w:p/>
    <w:p>
      <w:r>
        <w:rPr>
          <w:rFonts w:ascii="Calibri" w:hAnsi="Calibri"/>
          <w:b/>
          <w:i w:val="0"/>
          <w:color w:val="C9A432"/>
          <w:sz w:val="24"/>
        </w:rPr>
        <w:t>SIGNATURES</w:t>
      </w:r>
    </w:p>
    <w:p/>
    <w:p>
      <w:r>
        <w:rPr>
          <w:rFonts w:ascii="Calibri" w:hAnsi="Calibri"/>
          <w:b/>
          <w:i w:val="0"/>
          <w:color w:val="000000"/>
          <w:sz w:val="20"/>
        </w:rPr>
        <w:t>Company — Lighthief Cyprus Ltd</w:t>
      </w:r>
    </w:p>
    <w:p>
      <w:r>
        <w:rPr>
          <w:rFonts w:ascii="Calibri" w:hAnsi="Calibri"/>
          <w:b w:val="0"/>
          <w:i w:val="0"/>
          <w:color w:val="000000"/>
          <w:sz w:val="20"/>
        </w:rPr>
        <w:t>Signature: ______________________   Date: ______________________</w:t>
      </w:r>
    </w:p>
    <w:p/>
    <w:p>
      <w:r>
        <w:rPr>
          <w:rFonts w:ascii="Calibri" w:hAnsi="Calibri"/>
          <w:b/>
          <w:i w:val="0"/>
          <w:color w:val="000000"/>
          <w:sz w:val="20"/>
        </w:rPr>
        <w:t>Founder</w:t>
      </w:r>
    </w:p>
    <w:p>
      <w:r>
        <w:rPr>
          <w:rFonts w:ascii="Calibri" w:hAnsi="Calibri"/>
          <w:b w:val="0"/>
          <w:i w:val="0"/>
          <w:color w:val="000000"/>
          <w:sz w:val="20"/>
        </w:rPr>
        <w:t>Signature: ______________________   Date: ______________________</w:t>
      </w:r>
    </w:p>
    <w:p/>
    <w:p>
      <w:r>
        <w:rPr>
          <w:rFonts w:ascii="Calibri" w:hAnsi="Calibri"/>
          <w:b/>
          <w:i w:val="0"/>
          <w:color w:val="000000"/>
          <w:sz w:val="20"/>
        </w:rPr>
        <w:t>MD — Alexander Papacosta</w:t>
      </w:r>
    </w:p>
    <w:p>
      <w:r>
        <w:rPr>
          <w:rFonts w:ascii="Calibri" w:hAnsi="Calibri"/>
          <w:b w:val="0"/>
          <w:i w:val="0"/>
          <w:color w:val="000000"/>
          <w:sz w:val="20"/>
        </w:rPr>
        <w:t>Signature: ______________________   Date: ______________________</w:t>
      </w:r>
    </w:p>
    <w:p>
      <w:pPr>
        <w:sectPr>
          <w:footerReference w:type="default" r:id="rId21"/>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DEED OF GROUP ADHERENCE (CYPRUS PROTECTED PROJECTS)</w:t>
      </w:r>
    </w:p>
    <w:p/>
    <w:p>
      <w:pPr>
        <w:jc w:val="both"/>
      </w:pPr>
      <w:r>
        <w:rPr>
          <w:rFonts w:ascii="Calibri" w:hAnsi="Calibri"/>
          <w:b w:val="0"/>
          <w:i w:val="0"/>
          <w:color w:val="000000"/>
          <w:sz w:val="20"/>
        </w:rPr>
        <w:t>Status: TEMPLATE — counsel to finalise</w:t>
      </w:r>
    </w:p>
    <w:p>
      <w:pPr>
        <w:jc w:val="both"/>
      </w:pPr>
      <w:r>
        <w:rPr>
          <w:rFonts w:ascii="Calibri" w:hAnsi="Calibri"/>
          <w:b w:val="0"/>
          <w:i w:val="0"/>
          <w:color w:val="000000"/>
          <w:sz w:val="20"/>
        </w:rPr>
        <w:t>Ref: LCY-MOI-ADH-2026-001</w:t>
      </w:r>
    </w:p>
    <w:p>
      <w:pPr>
        <w:jc w:val="both"/>
      </w:pPr>
      <w:r>
        <w:rPr>
          <w:rFonts w:ascii="Calibri" w:hAnsi="Calibri"/>
          <w:b w:val="0"/>
          <w:i w:val="0"/>
          <w:color w:val="000000"/>
          <w:sz w:val="20"/>
        </w:rPr>
        <w:t>Purpose: Bind a Group entity (not party to LCY-MOI-TOCA-2026-001) to fee and anti-circumvention obligations before contracting Cyprus BESS work.</w:t>
      </w:r>
    </w:p>
    <w:p>
      <w:pPr>
        <w:spacing w:before="240"/>
      </w:pPr>
      <w:r>
        <w:rPr>
          <w:rFonts w:ascii="Calibri" w:hAnsi="Calibri"/>
          <w:b/>
          <w:i w:val="0"/>
          <w:color w:val="C9A432"/>
          <w:sz w:val="24"/>
        </w:rPr>
        <w:t>Parties</w:t>
      </w:r>
    </w:p>
    <w:p>
      <w:pPr>
        <w:pStyle w:val="ListBullet"/>
      </w:pPr>
      <w:r>
        <w:rPr>
          <w:rFonts w:ascii="Calibri" w:hAnsi="Calibri"/>
          <w:b w:val="0"/>
          <w:i w:val="0"/>
          <w:color w:val="000000"/>
          <w:sz w:val="20"/>
        </w:rPr>
        <w:t>Lighthief Cyprus Ltd (HE 477423) — "Company"</w:t>
      </w:r>
    </w:p>
    <w:p>
      <w:pPr>
        <w:pStyle w:val="ListBullet"/>
      </w:pPr>
      <w:r>
        <w:rPr>
          <w:rFonts w:ascii="Calibri" w:hAnsi="Calibri"/>
          <w:b w:val="0"/>
          <w:i w:val="0"/>
          <w:color w:val="000000"/>
          <w:sz w:val="20"/>
        </w:rPr>
        <w:t>Moi Ostrov Ltd (HE 319483) — "Consultant"</w:t>
      </w:r>
    </w:p>
    <w:p>
      <w:pPr>
        <w:pStyle w:val="ListBullet"/>
      </w:pPr>
      <w:r>
        <w:rPr>
          <w:rFonts w:ascii="Calibri" w:hAnsi="Calibri"/>
          <w:b w:val="0"/>
          <w:i w:val="0"/>
          <w:color w:val="000000"/>
          <w:sz w:val="20"/>
        </w:rPr>
        <w:t>[Group Entity Name] — "Adhering Entity"</w:t>
      </w:r>
    </w:p>
    <w:p>
      <w:pPr>
        <w:pStyle w:val="ListBullet"/>
      </w:pPr>
      <w:r>
        <w:rPr>
          <w:rFonts w:ascii="Calibri" w:hAnsi="Calibri"/>
          <w:b w:val="0"/>
          <w:i w:val="0"/>
          <w:color w:val="000000"/>
          <w:sz w:val="20"/>
        </w:rPr>
        <w:t>Dr. Arkadiusz Sybaris — personal guarantor (optional cross-ref Annex B)</w:t>
      </w:r>
    </w:p>
    <w:p>
      <w:pPr>
        <w:spacing w:before="240"/>
      </w:pPr>
      <w:r>
        <w:rPr>
          <w:rFonts w:ascii="Calibri" w:hAnsi="Calibri"/>
          <w:b/>
          <w:i w:val="0"/>
          <w:color w:val="C9A432"/>
          <w:sz w:val="24"/>
        </w:rPr>
        <w:t>Operative terms (heads)</w:t>
      </w:r>
    </w:p>
    <w:p>
      <w:pPr>
        <w:jc w:val="both"/>
      </w:pPr>
      <w:r>
        <w:rPr>
          <w:rFonts w:ascii="Calibri" w:hAnsi="Calibri"/>
          <w:b w:val="0"/>
          <w:i w:val="0"/>
          <w:color w:val="000000"/>
          <w:sz w:val="20"/>
        </w:rPr>
        <w:t>1. Adhering Entity acknowledges the Consultancy Agreement (LCY-MOI-TOCA-2026-001) and agrees that any receipt by Adhering Entity in respect of a Cyprus Protected Project is a Deemed Group Receipt under Clause 12.3.</w:t>
      </w:r>
    </w:p>
    <w:p>
      <w:pPr>
        <w:jc w:val="both"/>
      </w:pPr>
      <w:r>
        <w:rPr>
          <w:rFonts w:ascii="Calibri" w:hAnsi="Calibri"/>
          <w:b w:val="0"/>
          <w:i w:val="0"/>
          <w:color w:val="000000"/>
          <w:sz w:val="20"/>
        </w:rPr>
        <w:t>2. Adhering Entity shall not contract, invoice, or receive payment for Cyprus Protected Projects listed in Schedule 1 (or otherwise originated by Consultant) except through the Company unless Consultant consents in writing.</w:t>
      </w:r>
    </w:p>
    <w:p>
      <w:pPr>
        <w:jc w:val="both"/>
      </w:pPr>
      <w:r>
        <w:rPr>
          <w:rFonts w:ascii="Calibri" w:hAnsi="Calibri"/>
          <w:b w:val="0"/>
          <w:i w:val="0"/>
          <w:color w:val="000000"/>
          <w:sz w:val="20"/>
        </w:rPr>
        <w:t>3. Adhering Entity joins the fee calculation and payment mechanics: Company remains primary payor; Adhering Entity covenants to cooperate with margin reporting and audit.</w:t>
      </w:r>
    </w:p>
    <w:p>
      <w:pPr>
        <w:jc w:val="both"/>
      </w:pPr>
      <w:r>
        <w:rPr>
          <w:rFonts w:ascii="Calibri" w:hAnsi="Calibri"/>
          <w:b w:val="0"/>
          <w:i w:val="0"/>
          <w:color w:val="000000"/>
          <w:sz w:val="20"/>
        </w:rPr>
        <w:t>4. Adhering Entity acknowledges Protected Matter status and agrees not to take action to frustrate fees properly accrued under signed client contracts.</w:t>
      </w:r>
    </w:p>
    <w:p>
      <w:pPr>
        <w:jc w:val="both"/>
      </w:pPr>
      <w:r>
        <w:rPr>
          <w:rFonts w:ascii="Calibri" w:hAnsi="Calibri"/>
          <w:b w:val="0"/>
          <w:i w:val="0"/>
          <w:color w:val="000000"/>
          <w:sz w:val="20"/>
        </w:rPr>
        <w:t>5. Term: co-terminous with Consultancy Agreement Minimum Term / per-project survival on signed contracts.</w:t>
      </w:r>
    </w:p>
    <w:p>
      <w:pPr>
        <w:jc w:val="both"/>
      </w:pPr>
      <w:r>
        <w:rPr>
          <w:rFonts w:ascii="Calibri" w:hAnsi="Calibri"/>
          <w:b w:val="0"/>
          <w:i w:val="0"/>
          <w:color w:val="000000"/>
          <w:sz w:val="20"/>
        </w:rPr>
        <w:t>6. Term: co-terminous with Consultancy Agreement Minimum Term / per-project survival on signed contracts.</w:t>
      </w:r>
    </w:p>
    <w:p>
      <w:pPr>
        <w:jc w:val="both"/>
      </w:pPr>
      <w:r>
        <w:rPr>
          <w:rFonts w:ascii="Calibri" w:hAnsi="Calibri"/>
          <w:b w:val="0"/>
          <w:i w:val="0"/>
          <w:color w:val="000000"/>
          <w:sz w:val="20"/>
        </w:rPr>
        <w:t>7. Execution note: This deed binds the Adhering Entity only if that entity executes it. Clause 12.3(d) of the Consultancy Agreement may require adherence before Cyprus work, but a Group entity that refuses to sign and contracts anyway is not a party here. The primary backstop for circumvention remains Annex B (Sybaris personal obligations) — ensure Annex B is executed and enforceable.</w:t>
      </w:r>
    </w:p>
    <w:p>
      <w:pPr>
        <w:jc w:val="both"/>
      </w:pPr>
      <w:r>
        <w:rPr>
          <w:rFonts w:ascii="Calibri" w:hAnsi="Calibri"/>
          <w:b w:val="0"/>
          <w:i w:val="0"/>
          <w:color w:val="000000"/>
          <w:sz w:val="20"/>
        </w:rPr>
        <w:t>8. Governing law: Republic of Cyprus.</w:t>
      </w:r>
    </w:p>
    <w:p>
      <w:pPr>
        <w:spacing w:before="240"/>
      </w:pPr>
      <w:r>
        <w:rPr>
          <w:rFonts w:ascii="Calibri" w:hAnsi="Calibri"/>
          <w:b/>
          <w:i w:val="0"/>
          <w:color w:val="C9A432"/>
          <w:sz w:val="24"/>
        </w:rPr>
        <w:t>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Company</w:t>
            </w:r>
          </w:p>
        </w:tc>
        <w:tc>
          <w:tcPr>
            <w:tcW w:type="dxa" w:w="3135"/>
          </w:tcPr>
          <w:p>
            <w:r/>
            <w:r>
              <w:rPr>
                <w:rFonts w:ascii="Calibri" w:hAnsi="Calibri"/>
                <w:b w:val="0"/>
                <w:i w:val="0"/>
                <w:color w:val="000000"/>
                <w:sz w:val="18"/>
              </w:rPr>
              <w:t>Lighthief Cyprus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Consultant</w:t>
            </w:r>
          </w:p>
        </w:tc>
        <w:tc>
          <w:tcPr>
            <w:tcW w:type="dxa" w:w="3135"/>
          </w:tcPr>
          <w:p>
            <w:r/>
            <w:r>
              <w:rPr>
                <w:rFonts w:ascii="Calibri" w:hAnsi="Calibri"/>
                <w:b w:val="0"/>
                <w:i w:val="0"/>
                <w:color w:val="000000"/>
                <w:sz w:val="18"/>
              </w:rPr>
              <w:t>Moi Ostrov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Adhering Entity</w:t>
            </w:r>
          </w:p>
        </w:tc>
        <w:tc>
          <w:tcPr>
            <w:tcW w:type="dxa" w:w="3135"/>
          </w:tcPr>
          <w:p>
            <w:r/>
            <w:r>
              <w:rPr>
                <w:rFonts w:ascii="Calibri" w:hAnsi="Calibri"/>
                <w:b w:val="0"/>
                <w:i w:val="0"/>
                <w:color w:val="000000"/>
                <w:sz w:val="18"/>
              </w:rPr>
              <w:t>[Name]</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Guarantor (if req.)</w:t>
            </w:r>
          </w:p>
        </w:tc>
        <w:tc>
          <w:tcPr>
            <w:tcW w:type="dxa" w:w="3135"/>
          </w:tcPr>
          <w:p>
            <w:r/>
            <w:r>
              <w:rPr>
                <w:rFonts w:ascii="Calibri" w:hAnsi="Calibri"/>
                <w:b w:val="0"/>
                <w:i w:val="0"/>
                <w:color w:val="000000"/>
                <w:sz w:val="18"/>
              </w:rPr>
              <w:t>Dr. Arkadiusz Sybaris</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Attach to Consultancy Agreement as Schedule 4 or execute per project.</w:t>
      </w:r>
    </w:p>
    <w:p>
      <w:pPr>
        <w:sectPr>
          <w:footerReference w:type="default" r:id="rId22"/>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DIRECTOR &amp; OFFICER PROTECTIONS (LCY)</w:t>
      </w:r>
    </w:p>
    <w:p/>
    <w:p>
      <w:pPr>
        <w:jc w:val="both"/>
      </w:pPr>
      <w:r>
        <w:rPr>
          <w:rFonts w:ascii="Calibri" w:hAnsi="Calibri"/>
          <w:b w:val="0"/>
          <w:i w:val="0"/>
          <w:color w:val="000000"/>
          <w:sz w:val="20"/>
        </w:rPr>
        <w:t>Status: TEMPLATE — Cyprus counsel + insurance broker review required</w:t>
      </w:r>
    </w:p>
    <w:p>
      <w:pPr>
        <w:jc w:val="both"/>
      </w:pPr>
      <w:r>
        <w:rPr>
          <w:rFonts w:ascii="Calibri" w:hAnsi="Calibri"/>
          <w:b w:val="0"/>
          <w:i w:val="0"/>
          <w:color w:val="000000"/>
          <w:sz w:val="20"/>
        </w:rPr>
        <w:t>Ref: LCY-DIR-IND-2026-001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Beneficiaries: Alexander Papacosta (natural person director and company secretary); authorised representative(s) of Lighthief International Ltd in its capacity as corporate director</w:t>
      </w:r>
    </w:p>
    <w:p>
      <w:pPr>
        <w:jc w:val="both"/>
      </w:pPr>
      <w:r>
        <w:rPr>
          <w:rFonts w:ascii="Calibri" w:hAnsi="Calibri"/>
          <w:b w:val="0"/>
          <w:i w:val="0"/>
          <w:color w:val="000000"/>
          <w:sz w:val="20"/>
        </w:rPr>
        <w:t>Purpose: Separate from company professional indemnity on EPC contracts (Marsh / client-facing). This instrument covers personal exposure as director, secretary, and authorised signatory.</w:t>
      </w:r>
    </w:p>
    <w:p>
      <w:pPr>
        <w:spacing w:before="240"/>
      </w:pPr>
      <w:r>
        <w:rPr>
          <w:rFonts w:ascii="Calibri" w:hAnsi="Calibri"/>
          <w:b/>
          <w:i w:val="0"/>
          <w:color w:val="C9A432"/>
          <w:sz w:val="24"/>
        </w:rPr>
        <w:t>1. Why this is separate from EPC professional indemnity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Cover</w:t>
            </w:r>
          </w:p>
        </w:tc>
        <w:tc>
          <w:tcPr>
            <w:tcW w:type="dxa" w:w="2351"/>
            <w:shd w:fill="1A365D" w:val="clear"/>
          </w:tcPr>
          <w:p>
            <w:r/>
            <w:r>
              <w:rPr>
                <w:rFonts w:ascii="Calibri" w:hAnsi="Calibri"/>
                <w:b/>
                <w:i w:val="0"/>
                <w:color w:val="FFFFFF"/>
                <w:sz w:val="18"/>
              </w:rPr>
              <w:t>What it protects</w:t>
            </w:r>
          </w:p>
        </w:tc>
        <w:tc>
          <w:tcPr>
            <w:tcW w:type="dxa" w:w="2351"/>
            <w:shd w:fill="1A365D" w:val="clear"/>
          </w:tcPr>
          <w:p>
            <w:r/>
            <w:r>
              <w:rPr>
                <w:rFonts w:ascii="Calibri" w:hAnsi="Calibri"/>
                <w:b/>
                <w:i w:val="0"/>
                <w:color w:val="FFFFFF"/>
                <w:sz w:val="18"/>
              </w:rPr>
              <w:t>Typical payor</w:t>
            </w:r>
          </w:p>
        </w:tc>
        <w:tc>
          <w:tcPr>
            <w:tcW w:type="dxa" w:w="2351"/>
            <w:shd w:fill="1A365D" w:val="clear"/>
          </w:tcPr>
          <w:p>
            <w:r/>
            <w:r>
              <w:rPr>
                <w:rFonts w:ascii="Calibri" w:hAnsi="Calibri"/>
                <w:b/>
                <w:i w:val="0"/>
                <w:color w:val="FFFFFF"/>
                <w:sz w:val="18"/>
              </w:rPr>
              <w:t>In current pack?</w:t>
            </w:r>
          </w:p>
        </w:tc>
      </w:tr>
      <w:tr>
        <w:tc>
          <w:tcPr>
            <w:tcW w:type="dxa" w:w="2351"/>
          </w:tcPr>
          <w:p>
            <w:r/>
            <w:r>
              <w:rPr>
                <w:rFonts w:ascii="Calibri" w:hAnsi="Calibri"/>
                <w:b w:val="0"/>
                <w:i w:val="0"/>
                <w:color w:val="000000"/>
                <w:sz w:val="18"/>
              </w:rPr>
              <w:t>EPC professional indemnity (PI)</w:t>
            </w:r>
          </w:p>
        </w:tc>
        <w:tc>
          <w:tcPr>
            <w:tcW w:type="dxa" w:w="2351"/>
          </w:tcPr>
          <w:p>
            <w:r/>
            <w:r>
              <w:rPr>
                <w:rFonts w:ascii="Calibri" w:hAnsi="Calibri"/>
                <w:b w:val="0"/>
                <w:i w:val="0"/>
                <w:color w:val="000000"/>
                <w:sz w:val="18"/>
              </w:rPr>
              <w:t>Client claims for design/EPC negligence</w:t>
            </w:r>
          </w:p>
        </w:tc>
        <w:tc>
          <w:tcPr>
            <w:tcW w:type="dxa" w:w="2351"/>
          </w:tcPr>
          <w:p>
            <w:r/>
            <w:r>
              <w:rPr>
                <w:rFonts w:ascii="Calibri" w:hAnsi="Calibri"/>
                <w:b w:val="0"/>
                <w:i w:val="0"/>
                <w:color w:val="000000"/>
                <w:sz w:val="18"/>
              </w:rPr>
              <w:t>Lighthief Cyprus Ltd</w:t>
            </w:r>
          </w:p>
        </w:tc>
        <w:tc>
          <w:tcPr>
            <w:tcW w:type="dxa" w:w="2351"/>
          </w:tcPr>
          <w:p>
            <w:r/>
            <w:r>
              <w:rPr>
                <w:rFonts w:ascii="Calibri" w:hAnsi="Calibri"/>
                <w:b w:val="0"/>
                <w:i w:val="0"/>
                <w:color w:val="000000"/>
                <w:sz w:val="18"/>
              </w:rPr>
              <w:t>Yes — EPC template §14 (€1–2M); Marsh programme in progress</w:t>
            </w:r>
          </w:p>
        </w:tc>
      </w:tr>
      <w:tr>
        <w:tc>
          <w:tcPr>
            <w:tcW w:type="dxa" w:w="2351"/>
          </w:tcPr>
          <w:p>
            <w:r/>
            <w:r>
              <w:rPr>
                <w:rFonts w:ascii="Calibri" w:hAnsi="Calibri"/>
                <w:b w:val="0"/>
                <w:i w:val="0"/>
                <w:color w:val="000000"/>
                <w:sz w:val="18"/>
              </w:rPr>
              <w:t>Public / employer liability</w:t>
            </w:r>
          </w:p>
        </w:tc>
        <w:tc>
          <w:tcPr>
            <w:tcW w:type="dxa" w:w="2351"/>
          </w:tcPr>
          <w:p>
            <w:r/>
            <w:r>
              <w:rPr>
                <w:rFonts w:ascii="Calibri" w:hAnsi="Calibri"/>
                <w:b w:val="0"/>
                <w:i w:val="0"/>
                <w:color w:val="000000"/>
                <w:sz w:val="18"/>
              </w:rPr>
              <w:t>Third-party injury, employee claims</w:t>
            </w:r>
          </w:p>
        </w:tc>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Partially — EPC / Marsh</w:t>
            </w:r>
          </w:p>
        </w:tc>
      </w:tr>
      <w:tr>
        <w:tc>
          <w:tcPr>
            <w:tcW w:type="dxa" w:w="2351"/>
          </w:tcPr>
          <w:p>
            <w:r/>
            <w:r>
              <w:rPr>
                <w:rFonts w:ascii="Calibri" w:hAnsi="Calibri"/>
                <w:b w:val="0"/>
                <w:i w:val="0"/>
                <w:color w:val="000000"/>
                <w:sz w:val="18"/>
              </w:rPr>
              <w:t>D&amp;O / management liability</w:t>
            </w:r>
          </w:p>
        </w:tc>
        <w:tc>
          <w:tcPr>
            <w:tcW w:type="dxa" w:w="2351"/>
          </w:tcPr>
          <w:p>
            <w:r/>
            <w:r>
              <w:rPr>
                <w:rFonts w:ascii="Calibri" w:hAnsi="Calibri"/>
                <w:b w:val="0"/>
                <w:i w:val="0"/>
                <w:color w:val="000000"/>
                <w:sz w:val="18"/>
              </w:rPr>
              <w:t>Breach of duty, wrongful trading, shareholder claims, regulatory, related-party challenge</w:t>
            </w:r>
          </w:p>
        </w:tc>
        <w:tc>
          <w:tcPr>
            <w:tcW w:type="dxa" w:w="2351"/>
          </w:tcPr>
          <w:p>
            <w:r/>
            <w:r>
              <w:rPr>
                <w:rFonts w:ascii="Calibri" w:hAnsi="Calibri"/>
                <w:b w:val="0"/>
                <w:i w:val="0"/>
                <w:color w:val="000000"/>
                <w:sz w:val="18"/>
              </w:rPr>
              <w:t>Company (or shareholder)</w:t>
            </w:r>
          </w:p>
        </w:tc>
        <w:tc>
          <w:tcPr>
            <w:tcW w:type="dxa" w:w="2351"/>
          </w:tcPr>
          <w:p>
            <w:r/>
            <w:r>
              <w:rPr>
                <w:rFonts w:ascii="Calibri" w:hAnsi="Calibri"/>
                <w:b w:val="0"/>
                <w:i w:val="0"/>
                <w:color w:val="000000"/>
                <w:sz w:val="18"/>
              </w:rPr>
              <w:t>No</w:t>
            </w:r>
          </w:p>
        </w:tc>
      </w:tr>
      <w:tr>
        <w:tc>
          <w:tcPr>
            <w:tcW w:type="dxa" w:w="2351"/>
          </w:tcPr>
          <w:p>
            <w:r/>
            <w:r>
              <w:rPr>
                <w:rFonts w:ascii="Calibri" w:hAnsi="Calibri"/>
                <w:b w:val="0"/>
                <w:i w:val="0"/>
                <w:color w:val="000000"/>
                <w:sz w:val="18"/>
              </w:rPr>
              <w:t>Statutory indemnity (Cap. 113)</w:t>
            </w:r>
          </w:p>
        </w:tc>
        <w:tc>
          <w:tcPr>
            <w:tcW w:type="dxa" w:w="2351"/>
          </w:tcPr>
          <w:p>
            <w:r/>
            <w:r>
              <w:rPr>
                <w:rFonts w:ascii="Calibri" w:hAnsi="Calibri"/>
                <w:b w:val="0"/>
                <w:i w:val="0"/>
                <w:color w:val="000000"/>
                <w:sz w:val="18"/>
              </w:rPr>
              <w:t>Defence costs / losses from acts in office (within legal limits)</w:t>
            </w:r>
          </w:p>
        </w:tc>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No — check Articles</w:t>
            </w:r>
          </w:p>
        </w:tc>
      </w:tr>
    </w:tbl>
    <w:p/>
    <w:p>
      <w:pPr>
        <w:jc w:val="both"/>
      </w:pPr>
      <w:r>
        <w:rPr>
          <w:rFonts w:ascii="Calibri" w:hAnsi="Calibri"/>
          <w:b w:val="0"/>
          <w:i w:val="0"/>
          <w:color w:val="000000"/>
          <w:sz w:val="20"/>
        </w:rPr>
        <w:t>PI does not substitute for D&amp;O. Client PI responds when the company is sued for project delivery. D&amp;O responds when you (or Lighthief International’s representative) are sued as officers — e.g. approving related-party contracts, dividend policy, insolvency, filing defaults, employment disputes.</w:t>
      </w:r>
    </w:p>
    <w:p>
      <w:pPr>
        <w:spacing w:before="240"/>
      </w:pPr>
      <w:r>
        <w:rPr>
          <w:rFonts w:ascii="Calibri" w:hAnsi="Calibri"/>
          <w:b/>
          <w:i w:val="0"/>
          <w:color w:val="C9A432"/>
          <w:sz w:val="24"/>
        </w:rPr>
        <w:t>2. Current office structure (confirm with register)</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Role</w:t>
            </w:r>
          </w:p>
        </w:tc>
        <w:tc>
          <w:tcPr>
            <w:tcW w:type="dxa" w:w="3135"/>
            <w:shd w:fill="1A365D" w:val="clear"/>
          </w:tcPr>
          <w:p>
            <w:r/>
            <w:r>
              <w:rPr>
                <w:rFonts w:ascii="Calibri" w:hAnsi="Calibri"/>
                <w:b/>
                <w:i w:val="0"/>
                <w:color w:val="FFFFFF"/>
                <w:sz w:val="18"/>
              </w:rPr>
              <w:t>Holder</w:t>
            </w:r>
          </w:p>
        </w:tc>
        <w:tc>
          <w:tcPr>
            <w:tcW w:type="dxa" w:w="3135"/>
            <w:shd w:fill="1A365D" w:val="clear"/>
          </w:tcPr>
          <w:p>
            <w:r/>
            <w:r>
              <w:rPr>
                <w:rFonts w:ascii="Calibri" w:hAnsi="Calibri"/>
                <w:b/>
                <w:i w:val="0"/>
                <w:color w:val="FFFFFF"/>
                <w:sz w:val="18"/>
              </w:rPr>
              <w:t>Notes</w:t>
            </w:r>
          </w:p>
        </w:tc>
      </w:tr>
      <w:tr>
        <w:tc>
          <w:tcPr>
            <w:tcW w:type="dxa" w:w="3135"/>
          </w:tcPr>
          <w:p>
            <w:r/>
            <w:r>
              <w:rPr>
                <w:rFonts w:ascii="Calibri" w:hAnsi="Calibri"/>
                <w:b w:val="0"/>
                <w:i w:val="0"/>
                <w:color w:val="000000"/>
                <w:sz w:val="18"/>
              </w:rPr>
              <w:t>Director (natural person)</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Signs day-to-day; dual director of Moi Ostrov Ltd — disclosed §7 Moi Ostrov deed</w:t>
            </w:r>
          </w:p>
        </w:tc>
      </w:tr>
      <w:tr>
        <w:tc>
          <w:tcPr>
            <w:tcW w:type="dxa" w:w="3135"/>
          </w:tcPr>
          <w:p>
            <w:r/>
            <w:r>
              <w:rPr>
                <w:rFonts w:ascii="Calibri" w:hAnsi="Calibri"/>
                <w:b w:val="0"/>
                <w:i w:val="0"/>
                <w:color w:val="000000"/>
                <w:sz w:val="18"/>
              </w:rPr>
              <w:t>Director (corporate)</w:t>
            </w:r>
          </w:p>
        </w:tc>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Requires named authorised representative on Registrar file and for board minutes</w:t>
            </w:r>
          </w:p>
        </w:tc>
      </w:tr>
      <w:tr>
        <w:tc>
          <w:tcPr>
            <w:tcW w:type="dxa" w:w="3135"/>
          </w:tcPr>
          <w:p>
            <w:r/>
            <w:r>
              <w:rPr>
                <w:rFonts w:ascii="Calibri" w:hAnsi="Calibri"/>
                <w:b w:val="0"/>
                <w:i w:val="0"/>
                <w:color w:val="000000"/>
                <w:sz w:val="18"/>
              </w:rPr>
              <w:t>Company secretary</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Statutory books, filings, minutes — joint exposure with directors on defaults</w:t>
            </w:r>
          </w:p>
        </w:tc>
      </w:tr>
      <w:tr>
        <w:tc>
          <w:tcPr>
            <w:tcW w:type="dxa" w:w="3135"/>
          </w:tcPr>
          <w:p>
            <w:r/>
            <w:r>
              <w:rPr>
                <w:rFonts w:ascii="Calibri" w:hAnsi="Calibri"/>
                <w:b w:val="0"/>
                <w:i w:val="0"/>
                <w:color w:val="000000"/>
                <w:sz w:val="18"/>
              </w:rPr>
              <w:t>Managing director (employment)</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LCY-EMP-AP-2026-001 — employment duties ≠ director indemnity (separate tracks)</w:t>
            </w:r>
          </w:p>
        </w:tc>
      </w:tr>
    </w:tbl>
    <w:p/>
    <w:p>
      <w:pPr>
        <w:jc w:val="both"/>
      </w:pPr>
      <w:r>
        <w:rPr>
          <w:rFonts w:ascii="Calibri" w:hAnsi="Calibri"/>
          <w:b w:val="0"/>
          <w:i w:val="0"/>
          <w:color w:val="000000"/>
          <w:sz w:val="20"/>
        </w:rPr>
        <w:t>Counsel to confirm: (a) articles permit two directors + one secretary; (b) quorum when Alexander and LI representative are the board; (c) whether LI corporate director needs separate representative indemnity.</w:t>
      </w:r>
    </w:p>
    <w:p>
      <w:pPr>
        <w:spacing w:before="240"/>
      </w:pPr>
      <w:r>
        <w:rPr>
          <w:rFonts w:ascii="Calibri" w:hAnsi="Calibri"/>
          <w:b/>
          <w:i w:val="0"/>
          <w:color w:val="C9A432"/>
          <w:sz w:val="24"/>
        </w:rPr>
        <w:t>3. Company covenants (heads — counsel to expand)</w:t>
      </w:r>
    </w:p>
    <w:p>
      <w:pPr>
        <w:jc w:val="both"/>
      </w:pPr>
      <w:r>
        <w:rPr>
          <w:rFonts w:ascii="Calibri" w:hAnsi="Calibri"/>
          <w:b/>
          <w:i w:val="0"/>
          <w:color w:val="000000"/>
          <w:sz w:val="20"/>
        </w:rPr>
        <w:t>3.1 Directors’ and officers’ liability insurance</w:t>
      </w:r>
    </w:p>
    <w:p>
      <w:pPr>
        <w:jc w:val="both"/>
      </w:pPr>
      <w:r>
        <w:rPr>
          <w:rFonts w:ascii="Calibri" w:hAnsi="Calibri"/>
          <w:b w:val="0"/>
          <w:i w:val="0"/>
          <w:color w:val="000000"/>
          <w:sz w:val="20"/>
        </w:rPr>
        <w:t>The Company shall, within [60] days of execution (or [30] days before Galascope EPC Effective Date, whichever is earlier):</w:t>
      </w:r>
    </w:p>
    <w:p>
      <w:pPr>
        <w:jc w:val="both"/>
      </w:pPr>
      <w:r>
        <w:rPr>
          <w:rFonts w:ascii="Calibri" w:hAnsi="Calibri"/>
          <w:b w:val="0"/>
          <w:i w:val="0"/>
          <w:color w:val="000000"/>
          <w:sz w:val="20"/>
        </w:rPr>
        <w:t>(a) procure and maintain D&amp;O / management liability insurance with minimum limit €[1,000,000] per claim and in the aggregate (counsel + Marsh to confirm BESS-appropriate limit);</w:t>
      </w:r>
    </w:p>
    <w:p>
      <w:pPr>
        <w:jc w:val="both"/>
      </w:pPr>
      <w:r>
        <w:rPr>
          <w:rFonts w:ascii="Calibri" w:hAnsi="Calibri"/>
          <w:b w:val="0"/>
          <w:i w:val="0"/>
          <w:color w:val="000000"/>
          <w:sz w:val="20"/>
        </w:rPr>
        <w:t>(b) name as insured persons: Alexander Papacosta (director and secretary); each authorised representative of Lighthief International Ltd acting as corporate director; and any future executive directors approved by the Shareholder;</w:t>
      </w:r>
    </w:p>
    <w:p>
      <w:pPr>
        <w:jc w:val="both"/>
      </w:pPr>
      <w:r>
        <w:rPr>
          <w:rFonts w:ascii="Calibri" w:hAnsi="Calibri"/>
          <w:b w:val="0"/>
          <w:i w:val="0"/>
          <w:color w:val="000000"/>
          <w:sz w:val="20"/>
        </w:rPr>
        <w:t>(c) provide certificates of insurance and policy summaries to each insured person on placement and renewal;</w:t>
      </w:r>
    </w:p>
    <w:p>
      <w:pPr>
        <w:jc w:val="both"/>
      </w:pPr>
      <w:r>
        <w:rPr>
          <w:rFonts w:ascii="Calibri" w:hAnsi="Calibri"/>
          <w:b w:val="0"/>
          <w:i w:val="0"/>
          <w:color w:val="000000"/>
          <w:sz w:val="20"/>
        </w:rPr>
        <w:t>(d) not cancel or materially reduce cover without [30] days’ prior written notice to insured persons and Shareholder consent while any Protected Matter under LCY-MOI-TOCA-2026-001 remains in force;</w:t>
      </w:r>
    </w:p>
    <w:p>
      <w:pPr>
        <w:jc w:val="both"/>
      </w:pPr>
      <w:r>
        <w:rPr>
          <w:rFonts w:ascii="Calibri" w:hAnsi="Calibri"/>
          <w:b w:val="0"/>
          <w:i w:val="0"/>
          <w:color w:val="000000"/>
          <w:sz w:val="20"/>
        </w:rPr>
        <w:t>(e) where the policy permits, ensure defence costs are advanced and retroactive date covers acts from 1 July 2025 (or earlier if available).</w:t>
      </w:r>
    </w:p>
    <w:p>
      <w:pPr>
        <w:jc w:val="both"/>
      </w:pPr>
      <w:r>
        <w:rPr>
          <w:rFonts w:ascii="Calibri" w:hAnsi="Calibri"/>
          <w:b/>
          <w:i w:val="0"/>
          <w:color w:val="000000"/>
          <w:sz w:val="20"/>
        </w:rPr>
        <w:t>3.2 Statutory indemnity (Cap. 113)</w:t>
      </w:r>
    </w:p>
    <w:p>
      <w:pPr>
        <w:jc w:val="both"/>
      </w:pPr>
      <w:r>
        <w:rPr>
          <w:rFonts w:ascii="Calibri" w:hAnsi="Calibri"/>
          <w:b w:val="0"/>
          <w:i w:val="0"/>
          <w:color w:val="000000"/>
          <w:sz w:val="20"/>
        </w:rPr>
        <w:t>To the fullest extent permitted by Cyprus law (including Section 197, Cap. 113 and the Company’s articles):</w:t>
      </w:r>
    </w:p>
    <w:p>
      <w:pPr>
        <w:jc w:val="both"/>
      </w:pPr>
      <w:r>
        <w:rPr>
          <w:rFonts w:ascii="Calibri" w:hAnsi="Calibri"/>
          <w:b w:val="0"/>
          <w:i w:val="0"/>
          <w:color w:val="000000"/>
          <w:sz w:val="20"/>
        </w:rPr>
        <w:t>(a) the Company indemnifies each Beneficiary against liabilities and reasonable defence costs arising from acts or omissions in the proper performance of duties as director or secretary, excluding fraud, wilful default, or conduct known to be in breach of duty;</w:t>
      </w:r>
    </w:p>
    <w:p>
      <w:pPr>
        <w:jc w:val="both"/>
      </w:pPr>
      <w:r>
        <w:rPr>
          <w:rFonts w:ascii="Calibri" w:hAnsi="Calibri"/>
          <w:b w:val="0"/>
          <w:i w:val="0"/>
          <w:color w:val="000000"/>
          <w:sz w:val="20"/>
        </w:rPr>
        <w:t>(b) indemnity includes proceedings brought by the Company or Shareholder unless final non-appealable judgment finds fraud or dishonesty;</w:t>
      </w:r>
    </w:p>
    <w:p>
      <w:pPr>
        <w:jc w:val="both"/>
      </w:pPr>
      <w:r>
        <w:rPr>
          <w:rFonts w:ascii="Calibri" w:hAnsi="Calibri"/>
          <w:b w:val="0"/>
          <w:i w:val="0"/>
          <w:color w:val="000000"/>
          <w:sz w:val="20"/>
        </w:rPr>
        <w:t>(c) the Company shall advance reasonable defence costs subject to undertaking to repay if indemnity excluded.</w:t>
      </w:r>
    </w:p>
    <w:p>
      <w:pPr>
        <w:jc w:val="both"/>
      </w:pPr>
      <w:r>
        <w:rPr>
          <w:rFonts w:ascii="Calibri" w:hAnsi="Calibri"/>
          <w:b/>
          <w:i w:val="0"/>
          <w:color w:val="000000"/>
          <w:sz w:val="20"/>
        </w:rPr>
        <w:t>3.3 Secretary-specific</w:t>
      </w:r>
    </w:p>
    <w:p>
      <w:pPr>
        <w:jc w:val="both"/>
      </w:pPr>
      <w:r>
        <w:rPr>
          <w:rFonts w:ascii="Calibri" w:hAnsi="Calibri"/>
          <w:b w:val="0"/>
          <w:i w:val="0"/>
          <w:color w:val="000000"/>
          <w:sz w:val="20"/>
        </w:rPr>
        <w:t>Alexander Papacosta’s indemnity and D&amp;O cover extend to duties as company secretary (registers, filings, minutes) on the same basis as directorship.</w:t>
      </w:r>
    </w:p>
    <w:p>
      <w:pPr>
        <w:jc w:val="both"/>
      </w:pPr>
      <w:r>
        <w:rPr>
          <w:rFonts w:ascii="Calibri" w:hAnsi="Calibri"/>
          <w:b/>
          <w:i w:val="0"/>
          <w:color w:val="000000"/>
          <w:sz w:val="20"/>
        </w:rPr>
        <w:t>3.4 Related-party transactions</w:t>
      </w:r>
    </w:p>
    <w:p>
      <w:pPr>
        <w:jc w:val="both"/>
      </w:pPr>
      <w:r>
        <w:rPr>
          <w:rFonts w:ascii="Calibri" w:hAnsi="Calibri"/>
          <w:b w:val="0"/>
          <w:i w:val="0"/>
          <w:color w:val="000000"/>
          <w:sz w:val="20"/>
        </w:rPr>
        <w:t>The Shareholder acknowledges that Beneficiaries may participate in related-party transactions (Moi Ostrov deed, employment, side letter) only where disclosed and approved per Section 191, Cap. 113. The Company and Shareholder shall not deny indemnity or insurance solely because a claim arises from a transaction that was duly disclosed and shareholder-approved, unless counsel determines indemnity is legally prohibited.</w:t>
      </w:r>
    </w:p>
    <w:p>
      <w:pPr>
        <w:jc w:val="both"/>
      </w:pPr>
      <w:r>
        <w:rPr>
          <w:rFonts w:ascii="Calibri" w:hAnsi="Calibri"/>
          <w:b/>
          <w:i w:val="0"/>
          <w:color w:val="000000"/>
          <w:sz w:val="20"/>
        </w:rPr>
        <w:t>3.5 Run-off</w:t>
      </w:r>
    </w:p>
    <w:p>
      <w:pPr>
        <w:jc w:val="both"/>
      </w:pPr>
      <w:r>
        <w:rPr>
          <w:rFonts w:ascii="Calibri" w:hAnsi="Calibri"/>
          <w:b w:val="0"/>
          <w:i w:val="0"/>
          <w:color w:val="000000"/>
          <w:sz w:val="20"/>
        </w:rPr>
        <w:t>On cessation of office (other than summary removal for fraud/dishonesty), D&amp;O run-off cover of [6] years (or policy maximum) at Company expense unless termination is for cause defined in counsel’s final draft.</w:t>
      </w:r>
    </w:p>
    <w:p>
      <w:pPr>
        <w:jc w:val="both"/>
      </w:pPr>
      <w:r>
        <w:rPr>
          <w:rFonts w:ascii="Calibri" w:hAnsi="Calibri"/>
          <w:b/>
          <w:i w:val="0"/>
          <w:color w:val="000000"/>
          <w:sz w:val="20"/>
        </w:rPr>
        <w:t>3.6 No personal guarantee of company PI</w:t>
      </w:r>
    </w:p>
    <w:p>
      <w:pPr>
        <w:jc w:val="both"/>
      </w:pPr>
      <w:r>
        <w:rPr>
          <w:rFonts w:ascii="Calibri" w:hAnsi="Calibri"/>
          <w:b w:val="0"/>
          <w:i w:val="0"/>
          <w:color w:val="000000"/>
          <w:sz w:val="20"/>
        </w:rPr>
        <w:t>Nothing here requires Beneficiaries to personally underwrite the Company’s EPC professional indemnity obligations to clients. Client-facing PI remains a Company obligation.</w:t>
      </w:r>
    </w:p>
    <w:p>
      <w:pPr>
        <w:spacing w:before="240"/>
      </w:pPr>
      <w:r>
        <w:rPr>
          <w:rFonts w:ascii="Calibri" w:hAnsi="Calibri"/>
          <w:b/>
          <w:i w:val="0"/>
          <w:color w:val="C9A432"/>
          <w:sz w:val="24"/>
        </w:rPr>
        <w:t>4. Shareholder support (cross-ref resolution)</w:t>
      </w:r>
    </w:p>
    <w:p>
      <w:pPr>
        <w:jc w:val="both"/>
      </w:pPr>
      <w:r>
        <w:rPr>
          <w:rFonts w:ascii="Calibri" w:hAnsi="Calibri"/>
          <w:b w:val="0"/>
          <w:i w:val="0"/>
          <w:color w:val="000000"/>
          <w:sz w:val="20"/>
        </w:rPr>
        <w:t>Lighthief International Ltd shall pass written resolution (LCY-SHR-DO-2026-001):</w:t>
      </w:r>
    </w:p>
    <w:p>
      <w:pPr>
        <w:jc w:val="both"/>
      </w:pPr>
      <w:r>
        <w:rPr>
          <w:rFonts w:ascii="Calibri" w:hAnsi="Calibri"/>
          <w:b w:val="0"/>
          <w:i w:val="0"/>
          <w:color w:val="000000"/>
          <w:sz w:val="20"/>
        </w:rPr>
        <w:t>1. Approves procurement of D&amp;O insurance on terms no less favourable than §3.1.</w:t>
      </w:r>
    </w:p>
    <w:p>
      <w:pPr>
        <w:jc w:val="both"/>
      </w:pPr>
      <w:r>
        <w:rPr>
          <w:rFonts w:ascii="Calibri" w:hAnsi="Calibri"/>
          <w:b w:val="0"/>
          <w:i w:val="0"/>
          <w:color w:val="000000"/>
          <w:sz w:val="20"/>
        </w:rPr>
        <w:t>2. Approves Cap. 113 indemnity deed in favour of Beneficiaries.</w:t>
      </w:r>
    </w:p>
    <w:p>
      <w:pPr>
        <w:jc w:val="both"/>
      </w:pPr>
      <w:r>
        <w:rPr>
          <w:rFonts w:ascii="Calibri" w:hAnsi="Calibri"/>
          <w:b w:val="0"/>
          <w:i w:val="0"/>
          <w:color w:val="000000"/>
          <w:sz w:val="20"/>
        </w:rPr>
        <w:t>3. Confirms Alexander Papacosta’s appointment as company secretary [from date] and ratifies filings made in that capacity.</w:t>
      </w:r>
    </w:p>
    <w:p>
      <w:pPr>
        <w:jc w:val="both"/>
      </w:pPr>
      <w:r>
        <w:rPr>
          <w:rFonts w:ascii="Calibri" w:hAnsi="Calibri"/>
          <w:b w:val="0"/>
          <w:i w:val="0"/>
          <w:color w:val="000000"/>
          <w:sz w:val="20"/>
        </w:rPr>
        <w:t>4. Authorises premium payment as necessary Company expense.</w:t>
      </w:r>
    </w:p>
    <w:p>
      <w:pPr>
        <w:jc w:val="both"/>
      </w:pPr>
      <w:r>
        <w:rPr>
          <w:rFonts w:ascii="Calibri" w:hAnsi="Calibri"/>
          <w:b w:val="0"/>
          <w:i w:val="0"/>
          <w:color w:val="000000"/>
          <w:sz w:val="20"/>
        </w:rPr>
        <w:t>5. Instructs amendment of articles (if required) to permit indemnity and insurance.</w:t>
      </w:r>
    </w:p>
    <w:p>
      <w:pPr>
        <w:spacing w:before="240"/>
      </w:pPr>
      <w:r>
        <w:rPr>
          <w:rFonts w:ascii="Calibri" w:hAnsi="Calibri"/>
          <w:b/>
          <w:i w:val="0"/>
          <w:color w:val="C9A432"/>
          <w:sz w:val="24"/>
        </w:rPr>
        <w:t>5. Employment agreement cross-reference</w:t>
      </w:r>
    </w:p>
    <w:p>
      <w:pPr>
        <w:jc w:val="both"/>
      </w:pPr>
      <w:r>
        <w:rPr>
          <w:rFonts w:ascii="Calibri" w:hAnsi="Calibri"/>
          <w:b w:val="0"/>
          <w:i w:val="0"/>
          <w:color w:val="000000"/>
          <w:sz w:val="20"/>
        </w:rPr>
        <w:t>Add to LCY-EMP-AP-2026-001 (new §8.4 or Annex C):</w:t>
      </w:r>
    </w:p>
    <w:p>
      <w:pPr>
        <w:ind w:left="567"/>
      </w:pPr>
      <w:r>
        <w:rPr>
          <w:rFonts w:ascii="Calibri" w:hAnsi="Calibri"/>
          <w:b w:val="0"/>
          <w:i/>
          <w:color w:val="404040"/>
          <w:sz w:val="20"/>
        </w:rPr>
        <w:t>The Company’s obligations under the Director &amp; Officer Protections deed (LCY-DIR-IND-2026-001) apply to the Employee in his capacity as director and secretary. Employment termination does not automatically terminate directorship; run-off and indemnity survive cessation of each office as stated in that deed.</w:t>
      </w:r>
    </w:p>
    <w:p>
      <w:pPr>
        <w:spacing w:before="240"/>
      </w:pPr>
      <w:r>
        <w:rPr>
          <w:rFonts w:ascii="Calibri" w:hAnsi="Calibri"/>
          <w:b/>
          <w:i w:val="0"/>
          <w:color w:val="C9A432"/>
          <w:sz w:val="24"/>
        </w:rPr>
        <w:t>6. Moi Ostrov / consultancy (separate)</w:t>
      </w:r>
    </w:p>
    <w:p>
      <w:pPr>
        <w:jc w:val="both"/>
      </w:pPr>
      <w:r>
        <w:rPr>
          <w:rFonts w:ascii="Calibri" w:hAnsi="Calibri"/>
          <w:b w:val="0"/>
          <w:i w:val="0"/>
          <w:color w:val="000000"/>
          <w:sz w:val="20"/>
        </w:rPr>
        <w:t>Moi Ostrov Ltd consultancy work is not covered by LCY D&amp;O. If Moi Ostrov invoices the Company, Moi Ostrov should maintain its own professional indemnity / business liability as an independent contractor. Alexander’s personal Moi Ostrov directorship exposure is outside this LCY deed.</w:t>
      </w:r>
    </w:p>
    <w:p>
      <w:pPr>
        <w:spacing w:before="240"/>
      </w:pPr>
      <w:r>
        <w:rPr>
          <w:rFonts w:ascii="Calibri" w:hAnsi="Calibri"/>
          <w:b/>
          <w:i w:val="0"/>
          <w:color w:val="C9A432"/>
          <w:sz w:val="24"/>
        </w:rPr>
        <w:t>7. Pre-execution actions (broker + counsel)</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Owner</w:t>
            </w:r>
          </w:p>
        </w:tc>
      </w:tr>
      <w:tr>
        <w:tc>
          <w:tcPr>
            <w:tcW w:type="dxa" w:w="3135"/>
          </w:tcPr>
          <w:p>
            <w:r/>
            <w:r>
              <w:rPr>
                <w:rFonts w:ascii="Calibri" w:hAnsi="Calibri"/>
                <w:b w:val="0"/>
                <w:i w:val="0"/>
                <w:color w:val="000000"/>
                <w:sz w:val="18"/>
              </w:rPr>
              <w:t>1</w:t>
            </w:r>
          </w:p>
        </w:tc>
        <w:tc>
          <w:tcPr>
            <w:tcW w:type="dxa" w:w="3135"/>
          </w:tcPr>
          <w:p>
            <w:r/>
            <w:r>
              <w:rPr>
                <w:rFonts w:ascii="Calibri" w:hAnsi="Calibri"/>
                <w:b w:val="0"/>
                <w:i w:val="0"/>
                <w:color w:val="000000"/>
                <w:sz w:val="18"/>
              </w:rPr>
              <w:t>Obtain current LCY D&amp;O quote (Marsh or Cyprus broker) — confirm secretary named</w:t>
            </w:r>
          </w:p>
        </w:tc>
        <w:tc>
          <w:tcPr>
            <w:tcW w:type="dxa" w:w="3135"/>
          </w:tcPr>
          <w:p>
            <w:r/>
            <w:r>
              <w:rPr>
                <w:rFonts w:ascii="Calibri" w:hAnsi="Calibri"/>
                <w:b w:val="0"/>
                <w:i w:val="0"/>
                <w:color w:val="000000"/>
                <w:sz w:val="18"/>
              </w:rPr>
              <w:t>Alexander</w:t>
            </w:r>
          </w:p>
        </w:tc>
      </w:tr>
      <w:tr>
        <w:tc>
          <w:tcPr>
            <w:tcW w:type="dxa" w:w="3135"/>
          </w:tcPr>
          <w:p>
            <w:r/>
            <w:r>
              <w:rPr>
                <w:rFonts w:ascii="Calibri" w:hAnsi="Calibri"/>
                <w:b w:val="0"/>
                <w:i w:val="0"/>
                <w:color w:val="000000"/>
                <w:sz w:val="18"/>
              </w:rPr>
              <w:t>2</w:t>
            </w:r>
          </w:p>
        </w:tc>
        <w:tc>
          <w:tcPr>
            <w:tcW w:type="dxa" w:w="3135"/>
          </w:tcPr>
          <w:p>
            <w:r/>
            <w:r>
              <w:rPr>
                <w:rFonts w:ascii="Calibri" w:hAnsi="Calibri"/>
                <w:b w:val="0"/>
                <w:i w:val="0"/>
                <w:color w:val="000000"/>
                <w:sz w:val="18"/>
              </w:rPr>
              <w:t>Read articles — indemnity permitted? amendment needed?</w:t>
            </w:r>
          </w:p>
        </w:tc>
        <w:tc>
          <w:tcPr>
            <w:tcW w:type="dxa" w:w="3135"/>
          </w:tcPr>
          <w:p>
            <w:r/>
            <w:r>
              <w:rPr>
                <w:rFonts w:ascii="Calibri" w:hAnsi="Calibri"/>
                <w:b w:val="0"/>
                <w:i w:val="0"/>
                <w:color w:val="000000"/>
                <w:sz w:val="18"/>
              </w:rPr>
              <w:t>Counsel</w:t>
            </w:r>
          </w:p>
        </w:tc>
      </w:tr>
      <w:tr>
        <w:tc>
          <w:tcPr>
            <w:tcW w:type="dxa" w:w="3135"/>
          </w:tcPr>
          <w:p>
            <w:r/>
            <w:r>
              <w:rPr>
                <w:rFonts w:ascii="Calibri" w:hAnsi="Calibri"/>
                <w:b w:val="0"/>
                <w:i w:val="0"/>
                <w:color w:val="000000"/>
                <w:sz w:val="18"/>
              </w:rPr>
              <w:t>3</w:t>
            </w:r>
          </w:p>
        </w:tc>
        <w:tc>
          <w:tcPr>
            <w:tcW w:type="dxa" w:w="3135"/>
          </w:tcPr>
          <w:p>
            <w:r/>
            <w:r>
              <w:rPr>
                <w:rFonts w:ascii="Calibri" w:hAnsi="Calibri"/>
                <w:b w:val="0"/>
                <w:i w:val="0"/>
                <w:color w:val="000000"/>
                <w:sz w:val="18"/>
              </w:rPr>
              <w:t>Confirm Registrar records: LI corporate director + representative</w:t>
            </w:r>
          </w:p>
        </w:tc>
        <w:tc>
          <w:tcPr>
            <w:tcW w:type="dxa" w:w="3135"/>
          </w:tcPr>
          <w:p>
            <w:r/>
            <w:r>
              <w:rPr>
                <w:rFonts w:ascii="Calibri" w:hAnsi="Calibri"/>
                <w:b w:val="0"/>
                <w:i w:val="0"/>
                <w:color w:val="000000"/>
                <w:sz w:val="18"/>
              </w:rPr>
              <w:t>Secretary</w:t>
            </w:r>
          </w:p>
        </w:tc>
      </w:tr>
      <w:tr>
        <w:tc>
          <w:tcPr>
            <w:tcW w:type="dxa" w:w="3135"/>
          </w:tcPr>
          <w:p>
            <w:r/>
            <w:r>
              <w:rPr>
                <w:rFonts w:ascii="Calibri" w:hAnsi="Calibri"/>
                <w:b w:val="0"/>
                <w:i w:val="0"/>
                <w:color w:val="000000"/>
                <w:sz w:val="18"/>
              </w:rPr>
              <w:t>4</w:t>
            </w:r>
          </w:p>
        </w:tc>
        <w:tc>
          <w:tcPr>
            <w:tcW w:type="dxa" w:w="3135"/>
          </w:tcPr>
          <w:p>
            <w:r/>
            <w:r>
              <w:rPr>
                <w:rFonts w:ascii="Calibri" w:hAnsi="Calibri"/>
                <w:b w:val="0"/>
                <w:i w:val="0"/>
                <w:color w:val="000000"/>
                <w:sz w:val="18"/>
              </w:rPr>
              <w:t>Align D&amp;O retro date with Jul 2025 related-party approvals</w:t>
            </w:r>
          </w:p>
        </w:tc>
        <w:tc>
          <w:tcPr>
            <w:tcW w:type="dxa" w:w="3135"/>
          </w:tcPr>
          <w:p>
            <w:r/>
            <w:r>
              <w:rPr>
                <w:rFonts w:ascii="Calibri" w:hAnsi="Calibri"/>
                <w:b w:val="0"/>
                <w:i w:val="0"/>
                <w:color w:val="000000"/>
                <w:sz w:val="18"/>
              </w:rPr>
              <w:t>Counsel</w:t>
            </w:r>
          </w:p>
        </w:tc>
      </w:tr>
      <w:tr>
        <w:tc>
          <w:tcPr>
            <w:tcW w:type="dxa" w:w="3135"/>
          </w:tcPr>
          <w:p>
            <w:r/>
            <w:r>
              <w:rPr>
                <w:rFonts w:ascii="Calibri" w:hAnsi="Calibri"/>
                <w:b w:val="0"/>
                <w:i w:val="0"/>
                <w:color w:val="000000"/>
                <w:sz w:val="18"/>
              </w:rPr>
              <w:t>5</w:t>
            </w:r>
          </w:p>
        </w:tc>
        <w:tc>
          <w:tcPr>
            <w:tcW w:type="dxa" w:w="3135"/>
          </w:tcPr>
          <w:p>
            <w:r/>
            <w:r>
              <w:rPr>
                <w:rFonts w:ascii="Calibri" w:hAnsi="Calibri"/>
                <w:b w:val="0"/>
                <w:i w:val="0"/>
                <w:color w:val="000000"/>
                <w:sz w:val="18"/>
              </w:rPr>
              <w:t>Do not rely on EPC PI certificate as personal cover</w:t>
            </w:r>
          </w:p>
        </w:tc>
        <w:tc>
          <w:tcPr>
            <w:tcW w:type="dxa" w:w="3135"/>
          </w:tcPr>
          <w:p>
            <w:r/>
            <w:r>
              <w:rPr>
                <w:rFonts w:ascii="Calibri" w:hAnsi="Calibri"/>
                <w:b w:val="0"/>
                <w:i w:val="0"/>
                <w:color w:val="000000"/>
                <w:sz w:val="18"/>
              </w:rPr>
              <w:t>—</w:t>
            </w:r>
          </w:p>
        </w:tc>
      </w:tr>
    </w:tbl>
    <w:p/>
    <w:p>
      <w:pPr>
        <w:spacing w:before="240"/>
      </w:pPr>
      <w:r>
        <w:rPr>
          <w:rFonts w:ascii="Calibri" w:hAnsi="Calibri"/>
          <w:b/>
          <w:i w:val="0"/>
          <w:color w:val="C9A432"/>
          <w:sz w:val="24"/>
        </w:rPr>
        <w:t>8. 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Company</w:t>
            </w:r>
          </w:p>
        </w:tc>
        <w:tc>
          <w:tcPr>
            <w:tcW w:type="dxa" w:w="3135"/>
          </w:tcPr>
          <w:p>
            <w:r/>
            <w:r>
              <w:rPr>
                <w:rFonts w:ascii="Calibri" w:hAnsi="Calibri"/>
                <w:b w:val="0"/>
                <w:i w:val="0"/>
                <w:color w:val="000000"/>
                <w:sz w:val="18"/>
              </w:rPr>
              <w:t>Lighthief Cyprus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Beneficiary</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Shareholder (consent)</w:t>
            </w:r>
          </w:p>
        </w:tc>
        <w:tc>
          <w:tcPr>
            <w:tcW w:type="dxa" w:w="3135"/>
          </w:tcPr>
          <w:p>
            <w:r/>
            <w:r>
              <w:rPr>
                <w:rFonts w:ascii="Calibri" w:hAnsi="Calibri"/>
                <w:b w:val="0"/>
                <w:i w:val="0"/>
                <w:color w:val="000000"/>
                <w:sz w:val="18"/>
              </w:rPr>
              <w:t>Lighthief International Ltd — Dr. Arkadiusz Sybaris</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End of draft — not legal advice. Insurance terms subject to broker binding.</w:t>
      </w:r>
    </w:p>
    <w:p>
      <w:pPr>
        <w:sectPr>
          <w:footerReference w:type="default" r:id="rId23"/>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WRITTEN RESOLUTION — D&amp;O INSURANCE &amp; DIRECTOR INDEMNITY</w:t>
      </w:r>
    </w:p>
    <w:p/>
    <w:p>
      <w:pPr>
        <w:jc w:val="both"/>
      </w:pPr>
      <w:r>
        <w:rPr>
          <w:rFonts w:ascii="Calibri" w:hAnsi="Calibri"/>
          <w:b w:val="0"/>
          <w:i w:val="0"/>
          <w:color w:val="000000"/>
          <w:sz w:val="20"/>
        </w:rPr>
        <w:t>Status: TEMPLATE — Cyprus legal review required</w:t>
      </w:r>
    </w:p>
    <w:p>
      <w:pPr>
        <w:jc w:val="both"/>
      </w:pPr>
      <w:r>
        <w:rPr>
          <w:rFonts w:ascii="Calibri" w:hAnsi="Calibri"/>
          <w:b w:val="0"/>
          <w:i w:val="0"/>
          <w:color w:val="000000"/>
          <w:sz w:val="20"/>
        </w:rPr>
        <w:t>Ref: LCY-SHR-DO-2026-001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Shareholder: Lighthief International Ltd (sole shareholder)</w:t>
      </w:r>
    </w:p>
    <w:p>
      <w:pPr>
        <w:spacing w:before="240"/>
      </w:pPr>
      <w:r>
        <w:rPr>
          <w:rFonts w:ascii="Calibri" w:hAnsi="Calibri"/>
          <w:b/>
          <w:i w:val="0"/>
          <w:color w:val="C9A432"/>
          <w:sz w:val="24"/>
        </w:rPr>
        <w:t>Resolution</w:t>
      </w:r>
    </w:p>
    <w:p>
      <w:pPr>
        <w:jc w:val="both"/>
      </w:pPr>
      <w:r>
        <w:rPr>
          <w:rFonts w:ascii="Calibri" w:hAnsi="Calibri"/>
          <w:b w:val="0"/>
          <w:i w:val="0"/>
          <w:color w:val="000000"/>
          <w:sz w:val="20"/>
        </w:rPr>
        <w:t>THE SOLE SHAREHOLDER resolves:</w:t>
      </w:r>
    </w:p>
    <w:p>
      <w:pPr>
        <w:jc w:val="both"/>
      </w:pPr>
      <w:r>
        <w:rPr>
          <w:rFonts w:ascii="Calibri" w:hAnsi="Calibri"/>
          <w:b w:val="0"/>
          <w:i w:val="0"/>
          <w:color w:val="000000"/>
          <w:sz w:val="20"/>
        </w:rPr>
        <w:t>1. D&amp;O insurance. The Company is directed and authorised to procure and maintain directors’ and officers’ liability insurance naming Alexander Papacosta (director and company secretary) and each authorised representative of Lighthief International Ltd acting as corporate director, on terms no less favourable than the heads set out in the Director &amp; Officer Protections deed (LCY-DIR-IND-2026-001), including minimum limit €[1,000,000] and retroactive coverage from 1 July 2025 where available.</w:t>
      </w:r>
    </w:p>
    <w:p>
      <w:pPr>
        <w:jc w:val="both"/>
      </w:pPr>
      <w:r>
        <w:rPr>
          <w:rFonts w:ascii="Calibri" w:hAnsi="Calibri"/>
          <w:b w:val="0"/>
          <w:i w:val="0"/>
          <w:color w:val="000000"/>
          <w:sz w:val="20"/>
        </w:rPr>
        <w:t>2. Premium. Insurance premiums and run-off premiums are approved Company expenses.</w:t>
      </w:r>
    </w:p>
    <w:p>
      <w:pPr>
        <w:jc w:val="both"/>
      </w:pPr>
      <w:r>
        <w:rPr>
          <w:rFonts w:ascii="Calibri" w:hAnsi="Calibri"/>
          <w:b w:val="0"/>
          <w:i w:val="0"/>
          <w:color w:val="000000"/>
          <w:sz w:val="20"/>
        </w:rPr>
        <w:t>3. Statutory indemnity. The Company is authorised to execute a deed of indemnity in favour of the Beneficiaries under LCY-DIR-IND-2026-001 to the maximum permitted by Section 197, Cap. 113 and the articles.</w:t>
      </w:r>
    </w:p>
    <w:p>
      <w:pPr>
        <w:jc w:val="both"/>
      </w:pPr>
      <w:r>
        <w:rPr>
          <w:rFonts w:ascii="Calibri" w:hAnsi="Calibri"/>
          <w:b w:val="0"/>
          <w:i w:val="0"/>
          <w:color w:val="000000"/>
          <w:sz w:val="20"/>
        </w:rPr>
        <w:t>4. Secretary appointment. Alexander Papacosta is confirmed as company secretary of the Company and all filings and minutes executed by him in that capacity from [appointment date / 1 July 2025] to date are ratified, subject to correction of any technical filing errors identified by counsel.</w:t>
      </w:r>
    </w:p>
    <w:p>
      <w:pPr>
        <w:jc w:val="both"/>
      </w:pPr>
      <w:r>
        <w:rPr>
          <w:rFonts w:ascii="Calibri" w:hAnsi="Calibri"/>
          <w:b w:val="0"/>
          <w:i w:val="0"/>
          <w:color w:val="000000"/>
          <w:sz w:val="20"/>
        </w:rPr>
        <w:t>5. Articles. The directors are instructed to procure such amendments to the articles as counsel advises are necessary to give full effect to the indemnity and insurance obligations.</w:t>
      </w:r>
    </w:p>
    <w:p>
      <w:pPr>
        <w:jc w:val="both"/>
      </w:pPr>
      <w:r>
        <w:rPr>
          <w:rFonts w:ascii="Calibri" w:hAnsi="Calibri"/>
          <w:b w:val="0"/>
          <w:i w:val="0"/>
          <w:color w:val="000000"/>
          <w:sz w:val="20"/>
        </w:rPr>
        <w:t>6. Related-party. The Shareholder acknowledges that D&amp;O and indemnity cover related-party claims only where disclosure and approval requirements were satisfied; this Resolution does not waive any right to pursue claims for fraud or dishonesty.</w:t>
      </w:r>
    </w:p>
    <w:p>
      <w:pPr>
        <w:spacing w:before="240"/>
      </w:pPr>
      <w:r>
        <w:rPr>
          <w:rFonts w:ascii="Calibri" w:hAnsi="Calibri"/>
          <w:b/>
          <w:i w:val="0"/>
          <w:color w:val="C9A432"/>
          <w:sz w:val="24"/>
        </w:rPr>
        <w:t>Signature — Sole Shareholder</w:t>
      </w:r>
    </w:p>
    <w:p>
      <w:pPr>
        <w:jc w:val="both"/>
      </w:pPr>
      <w:r>
        <w:rPr>
          <w:rFonts w:ascii="Calibri" w:hAnsi="Calibri"/>
          <w:b/>
          <w:i w:val="0"/>
          <w:color w:val="000000"/>
          <w:sz w:val="20"/>
        </w:rPr>
        <w:t>For and on behalf of LIGHTHIEF INTERNATIONAL LTD</w:t>
      </w:r>
    </w:p>
    <w:p>
      <w:pPr>
        <w:jc w:val="both"/>
      </w:pPr>
      <w:r>
        <w:rPr>
          <w:rFonts w:ascii="Calibri" w:hAnsi="Calibri"/>
          <w:b w:val="0"/>
          <w:i w:val="0"/>
          <w:color w:val="000000"/>
          <w:sz w:val="20"/>
        </w:rPr>
        <w:t>______________________________</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t>End of draft — Sybaris signature; not the Beneficiary signing for shareholder.</w:t>
      </w:r>
    </w:p>
    <w:p>
      <w:pPr>
        <w:sectPr>
          <w:footerReference w:type="default" r:id="rId24"/>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SIGNING MATRIX &amp; GOVERNANCE — LIGHTHIEF CYPRUS LTD</w:t>
      </w:r>
    </w:p>
    <w:p/>
    <w:p>
      <w:pPr>
        <w:jc w:val="both"/>
      </w:pPr>
      <w:r>
        <w:rPr>
          <w:rFonts w:ascii="Calibri" w:hAnsi="Calibri"/>
          <w:b w:val="0"/>
          <w:i w:val="0"/>
          <w:color w:val="000000"/>
          <w:sz w:val="20"/>
        </w:rPr>
        <w:t>Ref: LCY-GOV-SIGN-2026-001</w:t>
      </w:r>
    </w:p>
    <w:p>
      <w:pPr>
        <w:jc w:val="both"/>
      </w:pPr>
      <w:r>
        <w:rPr>
          <w:rFonts w:ascii="Calibri" w:hAnsi="Calibri"/>
          <w:b w:val="0"/>
          <w:i w:val="0"/>
          <w:color w:val="000000"/>
          <w:sz w:val="20"/>
        </w:rPr>
        <w:t>Status: EXECUTION GUIDE — use with counsel before signing</w:t>
      </w:r>
    </w:p>
    <w:p>
      <w:pPr>
        <w:jc w:val="both"/>
      </w:pPr>
      <w:r>
        <w:rPr>
          <w:rFonts w:ascii="Calibri" w:hAnsi="Calibri"/>
          <w:b w:val="0"/>
          <w:i w:val="0"/>
          <w:color w:val="000000"/>
          <w:sz w:val="20"/>
        </w:rPr>
        <w:t>Company: Lighthief Cyprus Ltd (HE 477423)</w:t>
      </w:r>
    </w:p>
    <w:p>
      <w:pPr>
        <w:spacing w:before="240"/>
      </w:pPr>
      <w:r>
        <w:rPr>
          <w:rFonts w:ascii="Calibri" w:hAnsi="Calibri"/>
          <w:b/>
          <w:i w:val="0"/>
          <w:color w:val="C9A432"/>
          <w:sz w:val="24"/>
        </w:rPr>
        <w:t>1. Corporate structure (signing logic)</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Entity / person</w:t>
            </w:r>
          </w:p>
        </w:tc>
        <w:tc>
          <w:tcPr>
            <w:tcW w:type="dxa" w:w="3135"/>
            <w:shd w:fill="1A365D" w:val="clear"/>
          </w:tcPr>
          <w:p>
            <w:r/>
            <w:r>
              <w:rPr>
                <w:rFonts w:ascii="Calibri" w:hAnsi="Calibri"/>
                <w:b/>
                <w:i w:val="0"/>
                <w:color w:val="FFFFFF"/>
                <w:sz w:val="18"/>
              </w:rPr>
              <w:t>Role</w:t>
            </w:r>
          </w:p>
        </w:tc>
        <w:tc>
          <w:tcPr>
            <w:tcW w:type="dxa" w:w="3135"/>
            <w:shd w:fill="1A365D" w:val="clear"/>
          </w:tcPr>
          <w:p>
            <w:r/>
            <w:r>
              <w:rPr>
                <w:rFonts w:ascii="Calibri" w:hAnsi="Calibri"/>
                <w:b/>
                <w:i w:val="0"/>
                <w:color w:val="FFFFFF"/>
                <w:sz w:val="18"/>
              </w:rPr>
              <w:t>Signs as</w:t>
            </w:r>
          </w:p>
        </w:tc>
      </w:tr>
      <w:tr>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Sole shareholder of LCY (100%)</w:t>
            </w:r>
          </w:p>
        </w:tc>
        <w:tc>
          <w:tcPr>
            <w:tcW w:type="dxa" w:w="3135"/>
          </w:tcPr>
          <w:p>
            <w:r/>
            <w:r>
              <w:rPr>
                <w:rFonts w:ascii="Calibri" w:hAnsi="Calibri"/>
                <w:b w:val="0"/>
                <w:i w:val="0"/>
                <w:color w:val="000000"/>
                <w:sz w:val="18"/>
              </w:rPr>
              <w:t>Shareholder resolutions only — never Alexander</w:t>
            </w:r>
          </w:p>
        </w:tc>
      </w:tr>
      <w:tr>
        <w:tc>
          <w:tcPr>
            <w:tcW w:type="dxa" w:w="3135"/>
          </w:tcPr>
          <w:p>
            <w:r/>
            <w:r>
              <w:rPr>
                <w:rFonts w:ascii="Calibri" w:hAnsi="Calibri"/>
                <w:b w:val="0"/>
                <w:i w:val="0"/>
                <w:color w:val="000000"/>
                <w:sz w:val="18"/>
              </w:rPr>
              <w:t>Dr. Arkadiusz Sybaris</w:t>
            </w:r>
          </w:p>
        </w:tc>
        <w:tc>
          <w:tcPr>
            <w:tcW w:type="dxa" w:w="3135"/>
          </w:tcPr>
          <w:p>
            <w:r/>
            <w:r>
              <w:rPr>
                <w:rFonts w:ascii="Calibri" w:hAnsi="Calibri"/>
                <w:b w:val="0"/>
                <w:i w:val="0"/>
                <w:color w:val="000000"/>
                <w:sz w:val="18"/>
              </w:rPr>
              <w:t>UBO of Lighthief International; authorised signatory of LI</w:t>
            </w:r>
          </w:p>
        </w:tc>
        <w:tc>
          <w:tcPr>
            <w:tcW w:type="dxa" w:w="3135"/>
          </w:tcPr>
          <w:p>
            <w:r/>
            <w:r>
              <w:rPr>
                <w:rFonts w:ascii="Calibri" w:hAnsi="Calibri"/>
                <w:b w:val="0"/>
                <w:i w:val="0"/>
                <w:color w:val="000000"/>
                <w:sz w:val="18"/>
              </w:rPr>
              <w:t>(a) For LI on shareholder resolutions; (b) Personally on Annex B and side letter Founder line; (c) For LI as corporate director at LCY board</w:t>
            </w:r>
          </w:p>
        </w:tc>
      </w:tr>
      <w:tr>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LCY director (natural person), company secretary, MD (employee); Moi Ostrov director</w:t>
            </w:r>
          </w:p>
        </w:tc>
        <w:tc>
          <w:tcPr>
            <w:tcW w:type="dxa" w:w="3135"/>
          </w:tcPr>
          <w:p>
            <w:r/>
            <w:r>
              <w:rPr>
                <w:rFonts w:ascii="Calibri" w:hAnsi="Calibri"/>
                <w:b w:val="0"/>
                <w:i w:val="0"/>
                <w:color w:val="000000"/>
                <w:sz w:val="18"/>
              </w:rPr>
              <w:t>LCY contracts, Moi Ostrov contracts, employment as Employee; does not sign shareholder resolutions</w:t>
            </w:r>
          </w:p>
        </w:tc>
      </w:tr>
      <w:tr>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LCY corporate director</w:t>
            </w:r>
          </w:p>
        </w:tc>
        <w:tc>
          <w:tcPr>
            <w:tcW w:type="dxa" w:w="3135"/>
          </w:tcPr>
          <w:p>
            <w:r/>
            <w:r>
              <w:rPr>
                <w:rFonts w:ascii="Calibri" w:hAnsi="Calibri"/>
                <w:b w:val="0"/>
                <w:i w:val="0"/>
                <w:color w:val="000000"/>
                <w:sz w:val="18"/>
              </w:rPr>
              <w:t>Represented at board by Sybaris (authorised representative)</w:t>
            </w:r>
          </w:p>
        </w:tc>
      </w:tr>
    </w:tbl>
    <w:p/>
    <w:p>
      <w:pPr>
        <w:jc w:val="both"/>
      </w:pPr>
      <w:r>
        <w:rPr>
          <w:rFonts w:ascii="Calibri" w:hAnsi="Calibri"/>
          <w:b w:val="0"/>
          <w:i w:val="0"/>
          <w:color w:val="000000"/>
          <w:sz w:val="20"/>
        </w:rPr>
        <w:t>Golden rule: Shareholder approvals = Sybaris for LI only. UBO personal undertakings = Sybaris in personal capacity. Company contracts = Alexander for LCY (where authorised by board + shareholder resolution).</w:t>
      </w:r>
    </w:p>
    <w:p>
      <w:pPr>
        <w:spacing w:before="240"/>
      </w:pPr>
      <w:r>
        <w:rPr>
          <w:rFonts w:ascii="Calibri" w:hAnsi="Calibri"/>
          <w:b/>
          <w:i w:val="0"/>
          <w:color w:val="C9A432"/>
          <w:sz w:val="24"/>
        </w:rPr>
        <w:t>2. Master signing matrix</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1A365D" w:val="clear"/>
          </w:tcPr>
          <w:p>
            <w:r/>
            <w:r>
              <w:rPr>
                <w:rFonts w:ascii="Calibri" w:hAnsi="Calibri"/>
                <w:b/>
                <w:i w:val="0"/>
                <w:color w:val="FFFFFF"/>
                <w:sz w:val="18"/>
              </w:rPr>
              <w:t>Part</w:t>
            </w:r>
          </w:p>
        </w:tc>
        <w:tc>
          <w:tcPr>
            <w:tcW w:type="dxa" w:w="1568"/>
            <w:shd w:fill="1A365D" w:val="clear"/>
          </w:tcPr>
          <w:p>
            <w:r/>
            <w:r>
              <w:rPr>
                <w:rFonts w:ascii="Calibri" w:hAnsi="Calibri"/>
                <w:b/>
                <w:i w:val="0"/>
                <w:color w:val="FFFFFF"/>
                <w:sz w:val="18"/>
              </w:rPr>
              <w:t>Document</w:t>
            </w:r>
          </w:p>
        </w:tc>
        <w:tc>
          <w:tcPr>
            <w:tcW w:type="dxa" w:w="1568"/>
            <w:shd w:fill="1A365D" w:val="clear"/>
          </w:tcPr>
          <w:p>
            <w:r/>
            <w:r>
              <w:rPr>
                <w:rFonts w:ascii="Calibri" w:hAnsi="Calibri"/>
                <w:b/>
                <w:i w:val="0"/>
                <w:color w:val="FFFFFF"/>
                <w:sz w:val="18"/>
              </w:rPr>
              <w:t>Ref</w:t>
            </w:r>
          </w:p>
        </w:tc>
        <w:tc>
          <w:tcPr>
            <w:tcW w:type="dxa" w:w="1568"/>
            <w:shd w:fill="1A365D" w:val="clear"/>
          </w:tcPr>
          <w:p>
            <w:r/>
            <w:r>
              <w:rPr>
                <w:rFonts w:ascii="Calibri" w:hAnsi="Calibri"/>
                <w:b/>
                <w:i w:val="0"/>
                <w:color w:val="FFFFFF"/>
                <w:sz w:val="18"/>
              </w:rPr>
              <w:t>Who signs</w:t>
            </w:r>
          </w:p>
        </w:tc>
        <w:tc>
          <w:tcPr>
            <w:tcW w:type="dxa" w:w="1568"/>
            <w:shd w:fill="1A365D" w:val="clear"/>
          </w:tcPr>
          <w:p>
            <w:r/>
            <w:r>
              <w:rPr>
                <w:rFonts w:ascii="Calibri" w:hAnsi="Calibri"/>
                <w:b/>
                <w:i w:val="0"/>
                <w:color w:val="FFFFFF"/>
                <w:sz w:val="18"/>
              </w:rPr>
              <w:t>Capacity</w:t>
            </w:r>
          </w:p>
        </w:tc>
        <w:tc>
          <w:tcPr>
            <w:tcW w:type="dxa" w:w="1568"/>
            <w:shd w:fill="1A365D" w:val="clear"/>
          </w:tcPr>
          <w:p>
            <w:r/>
            <w:r>
              <w:rPr>
                <w:rFonts w:ascii="Calibri" w:hAnsi="Calibri"/>
                <w:b/>
                <w:i w:val="0"/>
                <w:color w:val="FFFFFF"/>
                <w:sz w:val="18"/>
              </w:rPr>
              <w:t>Witness?</w:t>
            </w:r>
          </w:p>
        </w:tc>
      </w:tr>
      <w:tr>
        <w:tc>
          <w:tcPr>
            <w:tcW w:type="dxa" w:w="1568"/>
          </w:tcPr>
          <w:p>
            <w:r/>
            <w:r>
              <w:rPr>
                <w:rFonts w:ascii="Calibri" w:hAnsi="Calibri"/>
                <w:b w:val="0"/>
                <w:i w:val="0"/>
                <w:color w:val="000000"/>
                <w:sz w:val="18"/>
              </w:rPr>
              <w:t>5</w:t>
            </w:r>
          </w:p>
        </w:tc>
        <w:tc>
          <w:tcPr>
            <w:tcW w:type="dxa" w:w="1568"/>
          </w:tcPr>
          <w:p>
            <w:r/>
            <w:r>
              <w:rPr>
                <w:rFonts w:ascii="Calibri" w:hAnsi="Calibri"/>
                <w:b w:val="0"/>
                <w:i w:val="0"/>
                <w:color w:val="000000"/>
                <w:sz w:val="18"/>
              </w:rPr>
              <w:t>Consultancy Agreement (deed)</w:t>
            </w:r>
          </w:p>
        </w:tc>
        <w:tc>
          <w:tcPr>
            <w:tcW w:type="dxa" w:w="1568"/>
          </w:tcPr>
          <w:p>
            <w:r/>
            <w:r>
              <w:rPr>
                <w:rFonts w:ascii="Calibri" w:hAnsi="Calibri"/>
                <w:b w:val="0"/>
                <w:i w:val="0"/>
                <w:color w:val="000000"/>
                <w:sz w:val="18"/>
              </w:rPr>
              <w:t>LCY-MOI-TOCA-2026-001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Lighthief Cyprus Ltd</w:t>
            </w:r>
          </w:p>
        </w:tc>
        <w:tc>
          <w:tcPr>
            <w:tcW w:type="dxa" w:w="1568"/>
          </w:tcPr>
          <w:p>
            <w:r/>
            <w:r>
              <w:rPr>
                <w:rFonts w:ascii="Calibri" w:hAnsi="Calibri"/>
                <w:b w:val="0"/>
                <w:i w:val="0"/>
                <w:color w:val="000000"/>
                <w:sz w:val="18"/>
              </w:rPr>
              <w:t>Yes (deed)</w:t>
            </w:r>
          </w:p>
        </w:tc>
      </w:tr>
      <w:tr>
        <w:tc>
          <w:tcPr>
            <w:tcW w:type="dxa" w:w="1568"/>
          </w:tcPr>
          <w:p>
            <w:r/>
            <w:r>
              <w:rPr>
                <w:rFonts w:ascii="Calibri" w:hAnsi="Calibri"/>
                <w:b w:val="0"/>
                <w:i w:val="0"/>
                <w:color w:val="000000"/>
                <w:sz w:val="18"/>
              </w:rPr>
              <w:t>5</w:t>
            </w:r>
          </w:p>
        </w:tc>
        <w:tc>
          <w:tcPr>
            <w:tcW w:type="dxa" w:w="1568"/>
          </w:tcPr>
          <w:p>
            <w:r/>
            <w:r>
              <w:rPr>
                <w:rFonts w:ascii="Calibri" w:hAnsi="Calibri"/>
                <w:b w:val="0"/>
                <w:i w:val="0"/>
                <w:color w:val="000000"/>
                <w:sz w:val="18"/>
              </w:rPr>
              <w:t>Consultancy Agreement (deed)</w:t>
            </w:r>
          </w:p>
        </w:tc>
        <w:tc>
          <w:tcPr>
            <w:tcW w:type="dxa" w:w="1568"/>
          </w:tcPr>
          <w:p>
            <w:r/>
            <w:r>
              <w:rPr>
                <w:rFonts w:ascii="Calibri" w:hAnsi="Calibri"/>
                <w:b w:val="0"/>
                <w:i w:val="0"/>
                <w:color w:val="000000"/>
                <w:sz w:val="18"/>
              </w:rPr>
              <w:t>LCY-MOI-TOCA-2026-001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Moi Ostrov Ltd</w:t>
            </w:r>
          </w:p>
        </w:tc>
        <w:tc>
          <w:tcPr>
            <w:tcW w:type="dxa" w:w="1568"/>
          </w:tcPr>
          <w:p>
            <w:r/>
            <w:r>
              <w:rPr>
                <w:rFonts w:ascii="Calibri" w:hAnsi="Calibri"/>
                <w:b w:val="0"/>
                <w:i w:val="0"/>
                <w:color w:val="000000"/>
                <w:sz w:val="18"/>
              </w:rPr>
              <w:t>Yes (deed)</w:t>
            </w:r>
          </w:p>
        </w:tc>
      </w:tr>
      <w:tr>
        <w:tc>
          <w:tcPr>
            <w:tcW w:type="dxa" w:w="1568"/>
          </w:tcPr>
          <w:p>
            <w:r/>
            <w:r>
              <w:rPr>
                <w:rFonts w:ascii="Calibri" w:hAnsi="Calibri"/>
                <w:b w:val="0"/>
                <w:i w:val="0"/>
                <w:color w:val="000000"/>
                <w:sz w:val="18"/>
              </w:rPr>
              <w:t>6</w:t>
            </w:r>
          </w:p>
        </w:tc>
        <w:tc>
          <w:tcPr>
            <w:tcW w:type="dxa" w:w="1568"/>
          </w:tcPr>
          <w:p>
            <w:r/>
            <w:r>
              <w:rPr>
                <w:rFonts w:ascii="Calibri" w:hAnsi="Calibri"/>
                <w:b w:val="0"/>
                <w:i w:val="0"/>
                <w:color w:val="000000"/>
                <w:sz w:val="18"/>
              </w:rPr>
              <w:t>Annex A — Shareholder Resolution</w:t>
            </w:r>
          </w:p>
        </w:tc>
        <w:tc>
          <w:tcPr>
            <w:tcW w:type="dxa" w:w="1568"/>
          </w:tcPr>
          <w:p>
            <w:r/>
            <w:r>
              <w:rPr>
                <w:rFonts w:ascii="Calibri" w:hAnsi="Calibri"/>
                <w:b w:val="0"/>
                <w:i w:val="0"/>
                <w:color w:val="000000"/>
                <w:sz w:val="18"/>
              </w:rPr>
              <w:t>(within TOCA)</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Authorised signatory,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7</w:t>
            </w:r>
          </w:p>
        </w:tc>
        <w:tc>
          <w:tcPr>
            <w:tcW w:type="dxa" w:w="1568"/>
          </w:tcPr>
          <w:p>
            <w:r/>
            <w:r>
              <w:rPr>
                <w:rFonts w:ascii="Calibri" w:hAnsi="Calibri"/>
                <w:b w:val="0"/>
                <w:i w:val="0"/>
                <w:color w:val="000000"/>
                <w:sz w:val="18"/>
              </w:rPr>
              <w:t>Annex B — UBO Personal Undertaking</w:t>
            </w:r>
          </w:p>
        </w:tc>
        <w:tc>
          <w:tcPr>
            <w:tcW w:type="dxa" w:w="1568"/>
          </w:tcPr>
          <w:p>
            <w:r/>
            <w:r>
              <w:rPr>
                <w:rFonts w:ascii="Calibri" w:hAnsi="Calibri"/>
                <w:b w:val="0"/>
                <w:i w:val="0"/>
                <w:color w:val="000000"/>
                <w:sz w:val="18"/>
              </w:rPr>
              <w:t>(within TOCA)</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Personal — UBO (not LI)</w:t>
            </w:r>
          </w:p>
        </w:tc>
        <w:tc>
          <w:tcPr>
            <w:tcW w:type="dxa" w:w="1568"/>
          </w:tcPr>
          <w:p>
            <w:r/>
            <w:r>
              <w:rPr>
                <w:rFonts w:ascii="Calibri" w:hAnsi="Calibri"/>
                <w:b w:val="0"/>
                <w:i w:val="0"/>
                <w:color w:val="000000"/>
                <w:sz w:val="18"/>
              </w:rPr>
              <w:t>Yes (deed)</w:t>
            </w:r>
          </w:p>
        </w:tc>
      </w:tr>
      <w:tr>
        <w:tc>
          <w:tcPr>
            <w:tcW w:type="dxa" w:w="1568"/>
          </w:tcPr>
          <w:p>
            <w:r/>
            <w:r>
              <w:rPr>
                <w:rFonts w:ascii="Calibri" w:hAnsi="Calibri"/>
                <w:b w:val="0"/>
                <w:i w:val="0"/>
                <w:color w:val="000000"/>
                <w:sz w:val="18"/>
              </w:rPr>
              <w:t>8</w:t>
            </w:r>
          </w:p>
        </w:tc>
        <w:tc>
          <w:tcPr>
            <w:tcW w:type="dxa" w:w="1568"/>
          </w:tcPr>
          <w:p>
            <w:r/>
            <w:r>
              <w:rPr>
                <w:rFonts w:ascii="Calibri" w:hAnsi="Calibri"/>
                <w:b w:val="0"/>
                <w:i w:val="0"/>
                <w:color w:val="000000"/>
                <w:sz w:val="18"/>
              </w:rPr>
              <w:t>MD Employment Agreement</w:t>
            </w:r>
          </w:p>
        </w:tc>
        <w:tc>
          <w:tcPr>
            <w:tcW w:type="dxa" w:w="1568"/>
          </w:tcPr>
          <w:p>
            <w:r/>
            <w:r>
              <w:rPr>
                <w:rFonts w:ascii="Calibri" w:hAnsi="Calibri"/>
                <w:b w:val="0"/>
                <w:i w:val="0"/>
                <w:color w:val="000000"/>
                <w:sz w:val="18"/>
              </w:rPr>
              <w:t>LCY-EMP-AP-2026-001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 *(employer — per SHR auth)*</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8</w:t>
            </w:r>
          </w:p>
        </w:tc>
        <w:tc>
          <w:tcPr>
            <w:tcW w:type="dxa" w:w="1568"/>
          </w:tcPr>
          <w:p>
            <w:r/>
            <w:r>
              <w:rPr>
                <w:rFonts w:ascii="Calibri" w:hAnsi="Calibri"/>
                <w:b w:val="0"/>
                <w:i w:val="0"/>
                <w:color w:val="000000"/>
                <w:sz w:val="18"/>
              </w:rPr>
              <w:t>MD Employment Agreement</w:t>
            </w:r>
          </w:p>
        </w:tc>
        <w:tc>
          <w:tcPr>
            <w:tcW w:type="dxa" w:w="1568"/>
          </w:tcPr>
          <w:p>
            <w:r/>
            <w:r>
              <w:rPr>
                <w:rFonts w:ascii="Calibri" w:hAnsi="Calibri"/>
                <w:b w:val="0"/>
                <w:i w:val="0"/>
                <w:color w:val="000000"/>
                <w:sz w:val="18"/>
              </w:rPr>
              <w:t>LCY-EMP-AP-2026-001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Employee (personal)</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9</w:t>
            </w:r>
          </w:p>
        </w:tc>
        <w:tc>
          <w:tcPr>
            <w:tcW w:type="dxa" w:w="1568"/>
          </w:tcPr>
          <w:p>
            <w:r/>
            <w:r>
              <w:rPr>
                <w:rFonts w:ascii="Calibri" w:hAnsi="Calibri"/>
                <w:b w:val="0"/>
                <w:i w:val="0"/>
                <w:color w:val="000000"/>
                <w:sz w:val="18"/>
              </w:rPr>
              <w:t>Shareholder Resolution — Employment</w:t>
            </w:r>
          </w:p>
        </w:tc>
        <w:tc>
          <w:tcPr>
            <w:tcW w:type="dxa" w:w="1568"/>
          </w:tcPr>
          <w:p>
            <w:r/>
            <w:r>
              <w:rPr>
                <w:rFonts w:ascii="Calibri" w:hAnsi="Calibri"/>
                <w:b w:val="0"/>
                <w:i w:val="0"/>
                <w:color w:val="000000"/>
                <w:sz w:val="18"/>
              </w:rPr>
              <w:t>LCY-SHR-EMP-2026-001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For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10</w:t>
            </w:r>
          </w:p>
        </w:tc>
        <w:tc>
          <w:tcPr>
            <w:tcW w:type="dxa" w:w="1568"/>
          </w:tcPr>
          <w:p>
            <w:r/>
            <w:r>
              <w:rPr>
                <w:rFonts w:ascii="Calibri" w:hAnsi="Calibri"/>
                <w:b w:val="0"/>
                <w:i w:val="0"/>
                <w:color w:val="000000"/>
                <w:sz w:val="18"/>
              </w:rPr>
              <w:t>Equity Side Letter</w:t>
            </w:r>
          </w:p>
        </w:tc>
        <w:tc>
          <w:tcPr>
            <w:tcW w:type="dxa" w:w="1568"/>
          </w:tcPr>
          <w:p>
            <w:r/>
            <w:r>
              <w:rPr>
                <w:rFonts w:ascii="Calibri" w:hAnsi="Calibri"/>
                <w:b w:val="0"/>
                <w:i w:val="0"/>
                <w:color w:val="000000"/>
                <w:sz w:val="18"/>
              </w:rPr>
              <w:t>LCY-MD-EQ-2026-001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Founder / for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10</w:t>
            </w:r>
          </w:p>
        </w:tc>
        <w:tc>
          <w:tcPr>
            <w:tcW w:type="dxa" w:w="1568"/>
          </w:tcPr>
          <w:p>
            <w:r/>
            <w:r>
              <w:rPr>
                <w:rFonts w:ascii="Calibri" w:hAnsi="Calibri"/>
                <w:b w:val="0"/>
                <w:i w:val="0"/>
                <w:color w:val="000000"/>
                <w:sz w:val="18"/>
              </w:rPr>
              <w:t>Equity Side Letter</w:t>
            </w:r>
          </w:p>
        </w:tc>
        <w:tc>
          <w:tcPr>
            <w:tcW w:type="dxa" w:w="1568"/>
          </w:tcPr>
          <w:p>
            <w:r/>
            <w:r>
              <w:rPr>
                <w:rFonts w:ascii="Calibri" w:hAnsi="Calibri"/>
                <w:b w:val="0"/>
                <w:i w:val="0"/>
                <w:color w:val="000000"/>
                <w:sz w:val="18"/>
              </w:rPr>
              <w:t>LCY-MD-EQ-2026-001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 (acknowledgement)</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10</w:t>
            </w:r>
          </w:p>
        </w:tc>
        <w:tc>
          <w:tcPr>
            <w:tcW w:type="dxa" w:w="1568"/>
          </w:tcPr>
          <w:p>
            <w:r/>
            <w:r>
              <w:rPr>
                <w:rFonts w:ascii="Calibri" w:hAnsi="Calibri"/>
                <w:b w:val="0"/>
                <w:i w:val="0"/>
                <w:color w:val="000000"/>
                <w:sz w:val="18"/>
              </w:rPr>
              <w:t>Equity Side Letter</w:t>
            </w:r>
          </w:p>
        </w:tc>
        <w:tc>
          <w:tcPr>
            <w:tcW w:type="dxa" w:w="1568"/>
          </w:tcPr>
          <w:p>
            <w:r/>
            <w:r>
              <w:rPr>
                <w:rFonts w:ascii="Calibri" w:hAnsi="Calibri"/>
                <w:b w:val="0"/>
                <w:i w:val="0"/>
                <w:color w:val="000000"/>
                <w:sz w:val="18"/>
              </w:rPr>
              <w:t>LCY-MD-EQ-2026-001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MD (personal)</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11</w:t>
            </w:r>
          </w:p>
        </w:tc>
        <w:tc>
          <w:tcPr>
            <w:tcW w:type="dxa" w:w="1568"/>
          </w:tcPr>
          <w:p>
            <w:r/>
            <w:r>
              <w:rPr>
                <w:rFonts w:ascii="Calibri" w:hAnsi="Calibri"/>
                <w:b w:val="0"/>
                <w:i w:val="0"/>
                <w:color w:val="000000"/>
                <w:sz w:val="18"/>
              </w:rPr>
              <w:t>Option A — Heads of Terms</w:t>
            </w:r>
          </w:p>
        </w:tc>
        <w:tc>
          <w:tcPr>
            <w:tcW w:type="dxa" w:w="1568"/>
          </w:tcPr>
          <w:p>
            <w:r/>
            <w:r>
              <w:rPr>
                <w:rFonts w:ascii="Calibri" w:hAnsi="Calibri"/>
                <w:b w:val="0"/>
                <w:i w:val="0"/>
                <w:color w:val="000000"/>
                <w:sz w:val="18"/>
              </w:rPr>
              <w:t>LCY-OPT-A-2026-001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11</w:t>
            </w:r>
          </w:p>
        </w:tc>
        <w:tc>
          <w:tcPr>
            <w:tcW w:type="dxa" w:w="1568"/>
          </w:tcPr>
          <w:p>
            <w:r/>
            <w:r>
              <w:rPr>
                <w:rFonts w:ascii="Calibri" w:hAnsi="Calibri"/>
                <w:b w:val="0"/>
                <w:i w:val="0"/>
                <w:color w:val="000000"/>
                <w:sz w:val="18"/>
              </w:rPr>
              <w:t>Option A — Heads of Terms</w:t>
            </w:r>
          </w:p>
        </w:tc>
        <w:tc>
          <w:tcPr>
            <w:tcW w:type="dxa" w:w="1568"/>
          </w:tcPr>
          <w:p>
            <w:r/>
            <w:r>
              <w:rPr>
                <w:rFonts w:ascii="Calibri" w:hAnsi="Calibri"/>
                <w:b w:val="0"/>
                <w:i w:val="0"/>
                <w:color w:val="000000"/>
                <w:sz w:val="18"/>
              </w:rPr>
              <w:t>LCY-OPT-A-2026-001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Founder</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11</w:t>
            </w:r>
          </w:p>
        </w:tc>
        <w:tc>
          <w:tcPr>
            <w:tcW w:type="dxa" w:w="1568"/>
          </w:tcPr>
          <w:p>
            <w:r/>
            <w:r>
              <w:rPr>
                <w:rFonts w:ascii="Calibri" w:hAnsi="Calibri"/>
                <w:b w:val="0"/>
                <w:i w:val="0"/>
                <w:color w:val="000000"/>
                <w:sz w:val="18"/>
              </w:rPr>
              <w:t>Option A — Heads of Terms</w:t>
            </w:r>
          </w:p>
        </w:tc>
        <w:tc>
          <w:tcPr>
            <w:tcW w:type="dxa" w:w="1568"/>
          </w:tcPr>
          <w:p>
            <w:r/>
            <w:r>
              <w:rPr>
                <w:rFonts w:ascii="Calibri" w:hAnsi="Calibri"/>
                <w:b w:val="0"/>
                <w:i w:val="0"/>
                <w:color w:val="000000"/>
                <w:sz w:val="18"/>
              </w:rPr>
              <w:t>LCY-OPT-A-2026-001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MD (personal)</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13</w:t>
            </w:r>
          </w:p>
        </w:tc>
        <w:tc>
          <w:tcPr>
            <w:tcW w:type="dxa" w:w="1568"/>
          </w:tcPr>
          <w:p>
            <w:r/>
            <w:r>
              <w:rPr>
                <w:rFonts w:ascii="Calibri" w:hAnsi="Calibri"/>
                <w:b w:val="0"/>
                <w:i w:val="0"/>
                <w:color w:val="000000"/>
                <w:sz w:val="18"/>
              </w:rPr>
              <w:t>Director &amp; Officer Protections</w:t>
            </w:r>
          </w:p>
        </w:tc>
        <w:tc>
          <w:tcPr>
            <w:tcW w:type="dxa" w:w="1568"/>
          </w:tcPr>
          <w:p>
            <w:r/>
            <w:r>
              <w:rPr>
                <w:rFonts w:ascii="Calibri" w:hAnsi="Calibri"/>
                <w:b w:val="0"/>
                <w:i w:val="0"/>
                <w:color w:val="000000"/>
                <w:sz w:val="18"/>
              </w:rPr>
              <w:t>LCY-DIR-IND-2026-001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 + Beneficiary</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13</w:t>
            </w:r>
          </w:p>
        </w:tc>
        <w:tc>
          <w:tcPr>
            <w:tcW w:type="dxa" w:w="1568"/>
          </w:tcPr>
          <w:p>
            <w:r/>
            <w:r>
              <w:rPr>
                <w:rFonts w:ascii="Calibri" w:hAnsi="Calibri"/>
                <w:b w:val="0"/>
                <w:i w:val="0"/>
                <w:color w:val="000000"/>
                <w:sz w:val="18"/>
              </w:rPr>
              <w:t>Director &amp; Officer Protections</w:t>
            </w:r>
          </w:p>
        </w:tc>
        <w:tc>
          <w:tcPr>
            <w:tcW w:type="dxa" w:w="1568"/>
          </w:tcPr>
          <w:p>
            <w:r/>
            <w:r>
              <w:rPr>
                <w:rFonts w:ascii="Calibri" w:hAnsi="Calibri"/>
                <w:b w:val="0"/>
                <w:i w:val="0"/>
                <w:color w:val="000000"/>
                <w:sz w:val="18"/>
              </w:rPr>
              <w:t>LCY-DIR-IND-2026-001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Shareholder consent,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14</w:t>
            </w:r>
          </w:p>
        </w:tc>
        <w:tc>
          <w:tcPr>
            <w:tcW w:type="dxa" w:w="1568"/>
          </w:tcPr>
          <w:p>
            <w:r/>
            <w:r>
              <w:rPr>
                <w:rFonts w:ascii="Calibri" w:hAnsi="Calibri"/>
                <w:b w:val="0"/>
                <w:i w:val="0"/>
                <w:color w:val="000000"/>
                <w:sz w:val="18"/>
              </w:rPr>
              <w:t>Shareholder Resolution — D&amp;O</w:t>
            </w:r>
          </w:p>
        </w:tc>
        <w:tc>
          <w:tcPr>
            <w:tcW w:type="dxa" w:w="1568"/>
          </w:tcPr>
          <w:p>
            <w:r/>
            <w:r>
              <w:rPr>
                <w:rFonts w:ascii="Calibri" w:hAnsi="Calibri"/>
                <w:b w:val="0"/>
                <w:i w:val="0"/>
                <w:color w:val="000000"/>
                <w:sz w:val="18"/>
              </w:rPr>
              <w:t>LCY-SHR-DO-2026-001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For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16</w:t>
            </w:r>
          </w:p>
        </w:tc>
        <w:tc>
          <w:tcPr>
            <w:tcW w:type="dxa" w:w="1568"/>
          </w:tcPr>
          <w:p>
            <w:r/>
            <w:r>
              <w:rPr>
                <w:rFonts w:ascii="Calibri" w:hAnsi="Calibri"/>
                <w:b w:val="0"/>
                <w:i w:val="0"/>
                <w:color w:val="000000"/>
                <w:sz w:val="18"/>
              </w:rPr>
              <w:t>Board Minutes — Phase 1</w:t>
            </w:r>
          </w:p>
        </w:tc>
        <w:tc>
          <w:tcPr>
            <w:tcW w:type="dxa" w:w="1568"/>
          </w:tcPr>
          <w:p>
            <w:r/>
            <w:r>
              <w:rPr>
                <w:rFonts w:ascii="Calibri" w:hAnsi="Calibri"/>
                <w:b w:val="0"/>
                <w:i w:val="0"/>
                <w:color w:val="000000"/>
                <w:sz w:val="18"/>
              </w:rPr>
              <w:t>LCY-BRD-2026-001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Secretary (certifies minutes)</w:t>
            </w:r>
          </w:p>
        </w:tc>
        <w:tc>
          <w:tcPr>
            <w:tcW w:type="dxa" w:w="1568"/>
          </w:tcPr>
          <w:p>
            <w:r/>
            <w:r>
              <w:rPr>
                <w:rFonts w:ascii="Calibri" w:hAnsi="Calibri"/>
                <w:b w:val="0"/>
                <w:i w:val="0"/>
                <w:color w:val="000000"/>
                <w:sz w:val="18"/>
              </w:rPr>
              <w:t>N/A</w:t>
            </w:r>
          </w:p>
        </w:tc>
      </w:tr>
      <w:tr>
        <w:tc>
          <w:tcPr>
            <w:tcW w:type="dxa" w:w="1568"/>
          </w:tcPr>
          <w:p>
            <w:r/>
            <w:r>
              <w:rPr>
                <w:rFonts w:ascii="Calibri" w:hAnsi="Calibri"/>
                <w:b w:val="0"/>
                <w:i w:val="0"/>
                <w:color w:val="000000"/>
                <w:sz w:val="18"/>
              </w:rPr>
              <w:t>16</w:t>
            </w:r>
          </w:p>
        </w:tc>
        <w:tc>
          <w:tcPr>
            <w:tcW w:type="dxa" w:w="1568"/>
          </w:tcPr>
          <w:p>
            <w:r/>
            <w:r>
              <w:rPr>
                <w:rFonts w:ascii="Calibri" w:hAnsi="Calibri"/>
                <w:b w:val="0"/>
                <w:i w:val="0"/>
                <w:color w:val="000000"/>
                <w:sz w:val="18"/>
              </w:rPr>
              <w:t>Board Minutes — Phase 1</w:t>
            </w:r>
          </w:p>
        </w:tc>
        <w:tc>
          <w:tcPr>
            <w:tcW w:type="dxa" w:w="1568"/>
          </w:tcPr>
          <w:p>
            <w:r/>
            <w:r>
              <w:rPr>
                <w:rFonts w:ascii="Calibri" w:hAnsi="Calibri"/>
                <w:b w:val="0"/>
                <w:i w:val="0"/>
                <w:color w:val="000000"/>
                <w:sz w:val="18"/>
              </w:rPr>
              <w:t>LCY-BRD-2026-001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Chair / LI corporate director</w:t>
            </w:r>
          </w:p>
        </w:tc>
        <w:tc>
          <w:tcPr>
            <w:tcW w:type="dxa" w:w="1568"/>
          </w:tcPr>
          <w:p>
            <w:r/>
            <w:r>
              <w:rPr>
                <w:rFonts w:ascii="Calibri" w:hAnsi="Calibri"/>
                <w:b w:val="0"/>
                <w:i w:val="0"/>
                <w:color w:val="000000"/>
                <w:sz w:val="18"/>
              </w:rPr>
              <w:t>N/A</w:t>
            </w:r>
          </w:p>
        </w:tc>
      </w:tr>
      <w:tr>
        <w:tc>
          <w:tcPr>
            <w:tcW w:type="dxa" w:w="1568"/>
          </w:tcPr>
          <w:p>
            <w:r/>
            <w:r>
              <w:rPr>
                <w:rFonts w:ascii="Calibri" w:hAnsi="Calibri"/>
                <w:b w:val="0"/>
                <w:i w:val="0"/>
                <w:color w:val="000000"/>
                <w:sz w:val="18"/>
              </w:rPr>
              <w:t>17</w:t>
            </w:r>
          </w:p>
        </w:tc>
        <w:tc>
          <w:tcPr>
            <w:tcW w:type="dxa" w:w="1568"/>
          </w:tcPr>
          <w:p>
            <w:r/>
            <w:r>
              <w:rPr>
                <w:rFonts w:ascii="Calibri" w:hAnsi="Calibri"/>
                <w:b w:val="0"/>
                <w:i w:val="0"/>
                <w:color w:val="000000"/>
                <w:sz w:val="18"/>
              </w:rPr>
              <w:t>Board Minutes — Phase 2</w:t>
            </w:r>
          </w:p>
        </w:tc>
        <w:tc>
          <w:tcPr>
            <w:tcW w:type="dxa" w:w="1568"/>
          </w:tcPr>
          <w:p>
            <w:r/>
            <w:r>
              <w:rPr>
                <w:rFonts w:ascii="Calibri" w:hAnsi="Calibri"/>
                <w:b w:val="0"/>
                <w:i w:val="0"/>
                <w:color w:val="000000"/>
                <w:sz w:val="18"/>
              </w:rPr>
              <w:t>LCY-BRD-2026-002</w:t>
            </w:r>
          </w:p>
        </w:tc>
        <w:tc>
          <w:tcPr>
            <w:tcW w:type="dxa" w:w="1568"/>
          </w:tcPr>
          <w:p>
            <w:r/>
            <w:r>
              <w:rPr>
                <w:rFonts w:ascii="Calibri" w:hAnsi="Calibri"/>
                <w:b w:val="0"/>
                <w:i w:val="0"/>
                <w:color w:val="000000"/>
                <w:sz w:val="18"/>
              </w:rPr>
              <w:t>Same as Phase 1</w:t>
            </w:r>
          </w:p>
        </w:tc>
        <w:tc>
          <w:tcPr>
            <w:tcW w:type="dxa" w:w="1568"/>
          </w:tcPr>
          <w:p>
            <w:r/>
            <w:r>
              <w:rPr>
                <w:rFonts w:ascii="Calibri" w:hAnsi="Calibri"/>
                <w:b w:val="0"/>
                <w:i w:val="0"/>
                <w:color w:val="000000"/>
                <w:sz w:val="18"/>
              </w:rPr>
              <w:t>Pre-investor side letter</w:t>
            </w:r>
          </w:p>
        </w:tc>
        <w:tc>
          <w:tcPr>
            <w:tcW w:type="dxa" w:w="1568"/>
          </w:tcPr>
          <w:p>
            <w:r/>
            <w:r>
              <w:rPr>
                <w:rFonts w:ascii="Calibri" w:hAnsi="Calibri"/>
                <w:b w:val="0"/>
                <w:i w:val="0"/>
                <w:color w:val="000000"/>
                <w:sz w:val="18"/>
              </w:rPr>
              <w:t>N/A</w:t>
            </w:r>
          </w:p>
        </w:tc>
      </w:tr>
      <w:tr>
        <w:tc>
          <w:tcPr>
            <w:tcW w:type="dxa" w:w="1568"/>
          </w:tcPr>
          <w:p>
            <w:r/>
            <w:r>
              <w:rPr>
                <w:rFonts w:ascii="Calibri" w:hAnsi="Calibri"/>
                <w:b w:val="0"/>
                <w:i w:val="0"/>
                <w:color w:val="000000"/>
                <w:sz w:val="18"/>
              </w:rPr>
              <w:t>12</w:t>
            </w:r>
          </w:p>
        </w:tc>
        <w:tc>
          <w:tcPr>
            <w:tcW w:type="dxa" w:w="1568"/>
          </w:tcPr>
          <w:p>
            <w:r/>
            <w:r>
              <w:rPr>
                <w:rFonts w:ascii="Calibri" w:hAnsi="Calibri"/>
                <w:b w:val="0"/>
                <w:i w:val="0"/>
                <w:color w:val="000000"/>
                <w:sz w:val="18"/>
              </w:rPr>
              <w:t>Deed of Group Adherence</w:t>
            </w:r>
          </w:p>
        </w:tc>
        <w:tc>
          <w:tcPr>
            <w:tcW w:type="dxa" w:w="1568"/>
          </w:tcPr>
          <w:p>
            <w:r/>
            <w:r>
              <w:rPr>
                <w:rFonts w:ascii="Calibri" w:hAnsi="Calibri"/>
                <w:b w:val="0"/>
                <w:i w:val="0"/>
                <w:color w:val="000000"/>
                <w:sz w:val="18"/>
              </w:rPr>
              <w:t>LCY-MOI-ADH-2026-001</w:t>
            </w:r>
          </w:p>
        </w:tc>
        <w:tc>
          <w:tcPr>
            <w:tcW w:type="dxa" w:w="1568"/>
          </w:tcPr>
          <w:p>
            <w:r/>
            <w:r>
              <w:rPr>
                <w:rFonts w:ascii="Calibri" w:hAnsi="Calibri"/>
                <w:b w:val="0"/>
                <w:i w:val="0"/>
                <w:color w:val="000000"/>
                <w:sz w:val="18"/>
              </w:rPr>
              <w:t>Per entity</w:t>
            </w:r>
          </w:p>
        </w:tc>
        <w:tc>
          <w:tcPr>
            <w:tcW w:type="dxa" w:w="1568"/>
          </w:tcPr>
          <w:p>
            <w:r/>
            <w:r>
              <w:rPr>
                <w:rFonts w:ascii="Calibri" w:hAnsi="Calibri"/>
                <w:b w:val="0"/>
                <w:i w:val="0"/>
                <w:color w:val="000000"/>
                <w:sz w:val="18"/>
              </w:rPr>
              <w:t>Before each Group entity touches Cyprus work</w:t>
            </w:r>
          </w:p>
        </w:tc>
        <w:tc>
          <w:tcPr>
            <w:tcW w:type="dxa" w:w="1568"/>
          </w:tcPr>
          <w:p>
            <w:r/>
            <w:r>
              <w:rPr>
                <w:rFonts w:ascii="Calibri" w:hAnsi="Calibri"/>
                <w:b w:val="0"/>
                <w:i w:val="0"/>
                <w:color w:val="000000"/>
                <w:sz w:val="18"/>
              </w:rPr>
              <w:t>Counsel</w:t>
            </w:r>
          </w:p>
        </w:tc>
      </w:tr>
    </w:tbl>
    <w:p/>
    <w:p>
      <w:pPr>
        <w:spacing w:before="240"/>
      </w:pPr>
      <w:r>
        <w:rPr>
          <w:rFonts w:ascii="Calibri" w:hAnsi="Calibri"/>
          <w:b/>
          <w:i w:val="0"/>
          <w:color w:val="C9A432"/>
          <w:sz w:val="24"/>
        </w:rPr>
        <w:t>3. Execution phases &amp; order</w:t>
      </w:r>
    </w:p>
    <w:p>
      <w:r>
        <w:rPr>
          <w:rFonts w:ascii="Calibri" w:hAnsi="Calibri"/>
          <w:b/>
          <w:i w:val="0"/>
          <w:color w:val="1A365D"/>
          <w:sz w:val="22"/>
        </w:rPr>
        <w:t>Phase 1 — Founder alignment (before / with Galascope EPC recommendation)</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Step</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Signatory</w:t>
            </w:r>
          </w:p>
        </w:tc>
      </w:tr>
      <w:tr>
        <w:tc>
          <w:tcPr>
            <w:tcW w:type="dxa" w:w="3135"/>
          </w:tcPr>
          <w:p>
            <w:r/>
            <w:r>
              <w:rPr>
                <w:rFonts w:ascii="Calibri" w:hAnsi="Calibri"/>
                <w:b w:val="0"/>
                <w:i w:val="0"/>
                <w:color w:val="000000"/>
                <w:sz w:val="18"/>
              </w:rPr>
              <w:t>1a</w:t>
            </w:r>
          </w:p>
        </w:tc>
        <w:tc>
          <w:tcPr>
            <w:tcW w:type="dxa" w:w="3135"/>
          </w:tcPr>
          <w:p>
            <w:r/>
            <w:r>
              <w:rPr>
                <w:rFonts w:ascii="Calibri" w:hAnsi="Calibri"/>
                <w:b w:val="0"/>
                <w:i w:val="0"/>
                <w:color w:val="000000"/>
                <w:sz w:val="18"/>
              </w:rPr>
              <w:t>Hold LCY Board Meeting (Part 16 minutes)</w:t>
            </w:r>
          </w:p>
        </w:tc>
        <w:tc>
          <w:tcPr>
            <w:tcW w:type="dxa" w:w="3135"/>
          </w:tcPr>
          <w:p>
            <w:r/>
            <w:r>
              <w:rPr>
                <w:rFonts w:ascii="Calibri" w:hAnsi="Calibri"/>
                <w:b w:val="0"/>
                <w:i w:val="0"/>
                <w:color w:val="000000"/>
                <w:sz w:val="18"/>
              </w:rPr>
              <w:t>Sybaris + Alexander (AP recuses conflict items)</w:t>
            </w:r>
          </w:p>
        </w:tc>
      </w:tr>
      <w:tr>
        <w:tc>
          <w:tcPr>
            <w:tcW w:type="dxa" w:w="3135"/>
          </w:tcPr>
          <w:p>
            <w:r/>
            <w:r>
              <w:rPr>
                <w:rFonts w:ascii="Calibri" w:hAnsi="Calibri"/>
                <w:b w:val="0"/>
                <w:i w:val="0"/>
                <w:color w:val="000000"/>
                <w:sz w:val="18"/>
              </w:rPr>
              <w:t>1b</w:t>
            </w:r>
          </w:p>
        </w:tc>
        <w:tc>
          <w:tcPr>
            <w:tcW w:type="dxa" w:w="3135"/>
          </w:tcPr>
          <w:p>
            <w:r/>
            <w:r>
              <w:rPr>
                <w:rFonts w:ascii="Calibri" w:hAnsi="Calibri"/>
                <w:b w:val="0"/>
                <w:i w:val="0"/>
                <w:color w:val="000000"/>
                <w:sz w:val="18"/>
              </w:rPr>
              <w:t>Annex B — UBO personal undertaking</w:t>
            </w:r>
          </w:p>
        </w:tc>
        <w:tc>
          <w:tcPr>
            <w:tcW w:type="dxa" w:w="3135"/>
          </w:tcPr>
          <w:p>
            <w:r/>
            <w:r>
              <w:rPr>
                <w:rFonts w:ascii="Calibri" w:hAnsi="Calibri"/>
                <w:b w:val="0"/>
                <w:i w:val="0"/>
                <w:color w:val="000000"/>
                <w:sz w:val="18"/>
              </w:rPr>
              <w:t>Sybaris personal</w:t>
            </w:r>
          </w:p>
        </w:tc>
      </w:tr>
      <w:tr>
        <w:tc>
          <w:tcPr>
            <w:tcW w:type="dxa" w:w="3135"/>
          </w:tcPr>
          <w:p>
            <w:r/>
            <w:r>
              <w:rPr>
                <w:rFonts w:ascii="Calibri" w:hAnsi="Calibri"/>
                <w:b w:val="0"/>
                <w:i w:val="0"/>
                <w:color w:val="000000"/>
                <w:sz w:val="18"/>
              </w:rPr>
              <w:t>1c</w:t>
            </w:r>
          </w:p>
        </w:tc>
        <w:tc>
          <w:tcPr>
            <w:tcW w:type="dxa" w:w="3135"/>
          </w:tcPr>
          <w:p>
            <w:r/>
            <w:r>
              <w:rPr>
                <w:rFonts w:ascii="Calibri" w:hAnsi="Calibri"/>
                <w:b w:val="0"/>
                <w:i w:val="0"/>
                <w:color w:val="000000"/>
                <w:sz w:val="18"/>
              </w:rPr>
              <w:t>Annex A — shareholder resolution (Moi Ostrov)</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1d</w:t>
            </w:r>
          </w:p>
        </w:tc>
        <w:tc>
          <w:tcPr>
            <w:tcW w:type="dxa" w:w="3135"/>
          </w:tcPr>
          <w:p>
            <w:r/>
            <w:r>
              <w:rPr>
                <w:rFonts w:ascii="Calibri" w:hAnsi="Calibri"/>
                <w:b w:val="0"/>
                <w:i w:val="0"/>
                <w:color w:val="000000"/>
                <w:sz w:val="18"/>
              </w:rPr>
              <w:t>LCY-SHR-EMP-2026-001 — employment approval</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1e</w:t>
            </w:r>
          </w:p>
        </w:tc>
        <w:tc>
          <w:tcPr>
            <w:tcW w:type="dxa" w:w="3135"/>
          </w:tcPr>
          <w:p>
            <w:r/>
            <w:r>
              <w:rPr>
                <w:rFonts w:ascii="Calibri" w:hAnsi="Calibri"/>
                <w:b w:val="0"/>
                <w:i w:val="0"/>
                <w:color w:val="000000"/>
                <w:sz w:val="18"/>
              </w:rPr>
              <w:t>LCY-SHR-DO-2026-001 — D&amp;O + indemnity</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1f</w:t>
            </w:r>
          </w:p>
        </w:tc>
        <w:tc>
          <w:tcPr>
            <w:tcW w:type="dxa" w:w="3135"/>
          </w:tcPr>
          <w:p>
            <w:r/>
            <w:r>
              <w:rPr>
                <w:rFonts w:ascii="Calibri" w:hAnsi="Calibri"/>
                <w:b w:val="0"/>
                <w:i w:val="0"/>
                <w:color w:val="000000"/>
                <w:sz w:val="18"/>
              </w:rPr>
              <w:t>Consultancy deed (LCY + Moi Ostrov)</w:t>
            </w:r>
          </w:p>
        </w:tc>
        <w:tc>
          <w:tcPr>
            <w:tcW w:type="dxa" w:w="3135"/>
          </w:tcPr>
          <w:p>
            <w:r/>
            <w:r>
              <w:rPr>
                <w:rFonts w:ascii="Calibri" w:hAnsi="Calibri"/>
                <w:b w:val="0"/>
                <w:i w:val="0"/>
                <w:color w:val="000000"/>
                <w:sz w:val="18"/>
              </w:rPr>
              <w:t>Alexander both sides</w:t>
            </w:r>
          </w:p>
        </w:tc>
      </w:tr>
      <w:tr>
        <w:tc>
          <w:tcPr>
            <w:tcW w:type="dxa" w:w="3135"/>
          </w:tcPr>
          <w:p>
            <w:r/>
            <w:r>
              <w:rPr>
                <w:rFonts w:ascii="Calibri" w:hAnsi="Calibri"/>
                <w:b w:val="0"/>
                <w:i w:val="0"/>
                <w:color w:val="000000"/>
                <w:sz w:val="18"/>
              </w:rPr>
              <w:t>1g</w:t>
            </w:r>
          </w:p>
        </w:tc>
        <w:tc>
          <w:tcPr>
            <w:tcW w:type="dxa" w:w="3135"/>
          </w:tcPr>
          <w:p>
            <w:r/>
            <w:r>
              <w:rPr>
                <w:rFonts w:ascii="Calibri" w:hAnsi="Calibri"/>
                <w:b w:val="0"/>
                <w:i w:val="0"/>
                <w:color w:val="000000"/>
                <w:sz w:val="18"/>
              </w:rPr>
              <w:t>Employment agreement</w:t>
            </w:r>
          </w:p>
        </w:tc>
        <w:tc>
          <w:tcPr>
            <w:tcW w:type="dxa" w:w="3135"/>
          </w:tcPr>
          <w:p>
            <w:r/>
            <w:r>
              <w:rPr>
                <w:rFonts w:ascii="Calibri" w:hAnsi="Calibri"/>
                <w:b w:val="0"/>
                <w:i w:val="0"/>
                <w:color w:val="000000"/>
                <w:sz w:val="18"/>
              </w:rPr>
              <w:t>Alexander employer + employee</w:t>
            </w:r>
          </w:p>
        </w:tc>
      </w:tr>
      <w:tr>
        <w:tc>
          <w:tcPr>
            <w:tcW w:type="dxa" w:w="3135"/>
          </w:tcPr>
          <w:p>
            <w:r/>
            <w:r>
              <w:rPr>
                <w:rFonts w:ascii="Calibri" w:hAnsi="Calibri"/>
                <w:b w:val="0"/>
                <w:i w:val="0"/>
                <w:color w:val="000000"/>
                <w:sz w:val="18"/>
              </w:rPr>
              <w:t>1h</w:t>
            </w:r>
          </w:p>
        </w:tc>
        <w:tc>
          <w:tcPr>
            <w:tcW w:type="dxa" w:w="3135"/>
          </w:tcPr>
          <w:p>
            <w:r/>
            <w:r>
              <w:rPr>
                <w:rFonts w:ascii="Calibri" w:hAnsi="Calibri"/>
                <w:b w:val="0"/>
                <w:i w:val="0"/>
                <w:color w:val="000000"/>
                <w:sz w:val="18"/>
              </w:rPr>
              <w:t>D&amp;O deed (LCY-DIR-IND-2026-001)</w:t>
            </w:r>
          </w:p>
        </w:tc>
        <w:tc>
          <w:tcPr>
            <w:tcW w:type="dxa" w:w="3135"/>
          </w:tcPr>
          <w:p>
            <w:r/>
            <w:r>
              <w:rPr>
                <w:rFonts w:ascii="Calibri" w:hAnsi="Calibri"/>
                <w:b w:val="0"/>
                <w:i w:val="0"/>
                <w:color w:val="000000"/>
                <w:sz w:val="18"/>
              </w:rPr>
              <w:t>Alexander + Sybaris (SH consent)</w:t>
            </w:r>
          </w:p>
        </w:tc>
      </w:tr>
      <w:tr>
        <w:tc>
          <w:tcPr>
            <w:tcW w:type="dxa" w:w="3135"/>
          </w:tcPr>
          <w:p>
            <w:r/>
            <w:r>
              <w:rPr>
                <w:rFonts w:ascii="Calibri" w:hAnsi="Calibri"/>
                <w:b w:val="0"/>
                <w:i w:val="0"/>
                <w:color w:val="000000"/>
                <w:sz w:val="18"/>
              </w:rPr>
              <w:t>1i</w:t>
            </w:r>
          </w:p>
        </w:tc>
        <w:tc>
          <w:tcPr>
            <w:tcW w:type="dxa" w:w="3135"/>
          </w:tcPr>
          <w:p>
            <w:r/>
            <w:r>
              <w:rPr>
                <w:rFonts w:ascii="Calibri" w:hAnsi="Calibri"/>
                <w:b w:val="0"/>
                <w:i w:val="0"/>
                <w:color w:val="000000"/>
                <w:sz w:val="18"/>
              </w:rPr>
              <w:t>Option A heads (if binding now)</w:t>
            </w:r>
          </w:p>
        </w:tc>
        <w:tc>
          <w:tcPr>
            <w:tcW w:type="dxa" w:w="3135"/>
          </w:tcPr>
          <w:p>
            <w:r/>
            <w:r>
              <w:rPr>
                <w:rFonts w:ascii="Calibri" w:hAnsi="Calibri"/>
                <w:b w:val="0"/>
                <w:i w:val="0"/>
                <w:color w:val="000000"/>
                <w:sz w:val="18"/>
              </w:rPr>
              <w:t>Sybaris Founder + Alexander Company/MD</w:t>
            </w:r>
          </w:p>
        </w:tc>
      </w:tr>
      <w:tr>
        <w:tc>
          <w:tcPr>
            <w:tcW w:type="dxa" w:w="3135"/>
          </w:tcPr>
          <w:p>
            <w:r/>
            <w:r>
              <w:rPr>
                <w:rFonts w:ascii="Calibri" w:hAnsi="Calibri"/>
                <w:b w:val="0"/>
                <w:i w:val="0"/>
                <w:color w:val="000000"/>
                <w:sz w:val="18"/>
              </w:rPr>
              <w:t>1j</w:t>
            </w:r>
          </w:p>
        </w:tc>
        <w:tc>
          <w:tcPr>
            <w:tcW w:type="dxa" w:w="3135"/>
          </w:tcPr>
          <w:p>
            <w:r/>
            <w:r>
              <w:rPr>
                <w:rFonts w:ascii="Calibri" w:hAnsi="Calibri"/>
                <w:b w:val="0"/>
                <w:i w:val="0"/>
                <w:color w:val="000000"/>
                <w:sz w:val="18"/>
              </w:rPr>
              <w:t>Secretary files resolutions + minutes in statutory books</w:t>
            </w:r>
          </w:p>
        </w:tc>
        <w:tc>
          <w:tcPr>
            <w:tcW w:type="dxa" w:w="3135"/>
          </w:tcPr>
          <w:p>
            <w:r/>
            <w:r>
              <w:rPr>
                <w:rFonts w:ascii="Calibri" w:hAnsi="Calibri"/>
                <w:b w:val="0"/>
                <w:i w:val="0"/>
                <w:color w:val="000000"/>
                <w:sz w:val="18"/>
              </w:rPr>
              <w:t>Alexander as secretary</w:t>
            </w:r>
          </w:p>
        </w:tc>
      </w:tr>
    </w:tbl>
    <w:p/>
    <w:p>
      <w:r>
        <w:rPr>
          <w:rFonts w:ascii="Calibri" w:hAnsi="Calibri"/>
          <w:b/>
          <w:i w:val="0"/>
          <w:color w:val="1A365D"/>
          <w:sz w:val="22"/>
        </w:rPr>
        <w:t>Phase 2 — Before first investor tranche</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Step</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Signatory</w:t>
            </w:r>
          </w:p>
        </w:tc>
      </w:tr>
      <w:tr>
        <w:tc>
          <w:tcPr>
            <w:tcW w:type="dxa" w:w="3135"/>
          </w:tcPr>
          <w:p>
            <w:r/>
            <w:r>
              <w:rPr>
                <w:rFonts w:ascii="Calibri" w:hAnsi="Calibri"/>
                <w:b w:val="0"/>
                <w:i w:val="0"/>
                <w:color w:val="000000"/>
                <w:sz w:val="18"/>
              </w:rPr>
              <w:t>2a</w:t>
            </w:r>
          </w:p>
        </w:tc>
        <w:tc>
          <w:tcPr>
            <w:tcW w:type="dxa" w:w="3135"/>
          </w:tcPr>
          <w:p>
            <w:r/>
            <w:r>
              <w:rPr>
                <w:rFonts w:ascii="Calibri" w:hAnsi="Calibri"/>
                <w:b w:val="0"/>
                <w:i w:val="0"/>
                <w:color w:val="000000"/>
                <w:sz w:val="18"/>
              </w:rPr>
              <w:t>Hold LCY Board Meeting (Part 17 minutes)</w:t>
            </w:r>
          </w:p>
        </w:tc>
        <w:tc>
          <w:tcPr>
            <w:tcW w:type="dxa" w:w="3135"/>
          </w:tcPr>
          <w:p>
            <w:r/>
            <w:r>
              <w:rPr>
                <w:rFonts w:ascii="Calibri" w:hAnsi="Calibri"/>
                <w:b w:val="0"/>
                <w:i w:val="0"/>
                <w:color w:val="000000"/>
                <w:sz w:val="18"/>
              </w:rPr>
              <w:t>Sybaris chairs; AP recused on equity terms</w:t>
            </w:r>
          </w:p>
        </w:tc>
      </w:tr>
      <w:tr>
        <w:tc>
          <w:tcPr>
            <w:tcW w:type="dxa" w:w="3135"/>
          </w:tcPr>
          <w:p>
            <w:r/>
            <w:r>
              <w:rPr>
                <w:rFonts w:ascii="Calibri" w:hAnsi="Calibri"/>
                <w:b w:val="0"/>
                <w:i w:val="0"/>
                <w:color w:val="000000"/>
                <w:sz w:val="18"/>
              </w:rPr>
              <w:t>2b</w:t>
            </w:r>
          </w:p>
        </w:tc>
        <w:tc>
          <w:tcPr>
            <w:tcW w:type="dxa" w:w="3135"/>
          </w:tcPr>
          <w:p>
            <w:r/>
            <w:r>
              <w:rPr>
                <w:rFonts w:ascii="Calibri" w:hAnsi="Calibri"/>
                <w:b w:val="0"/>
                <w:i w:val="0"/>
                <w:color w:val="000000"/>
                <w:sz w:val="18"/>
              </w:rPr>
              <w:t>Shareholder resolution approving side letter *(if counsel requires separate SHR)*</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2c</w:t>
            </w:r>
          </w:p>
        </w:tc>
        <w:tc>
          <w:tcPr>
            <w:tcW w:type="dxa" w:w="3135"/>
          </w:tcPr>
          <w:p>
            <w:r/>
            <w:r>
              <w:rPr>
                <w:rFonts w:ascii="Calibri" w:hAnsi="Calibri"/>
                <w:b w:val="0"/>
                <w:i w:val="0"/>
                <w:color w:val="000000"/>
                <w:sz w:val="18"/>
              </w:rPr>
              <w:t>Equity side letter executed</w:t>
            </w:r>
          </w:p>
        </w:tc>
        <w:tc>
          <w:tcPr>
            <w:tcW w:type="dxa" w:w="3135"/>
          </w:tcPr>
          <w:p>
            <w:r/>
            <w:r>
              <w:rPr>
                <w:rFonts w:ascii="Calibri" w:hAnsi="Calibri"/>
                <w:b w:val="0"/>
                <w:i w:val="0"/>
                <w:color w:val="000000"/>
                <w:sz w:val="18"/>
              </w:rPr>
              <w:t>Sybaris Founder + Alexander Company/MD</w:t>
            </w:r>
          </w:p>
        </w:tc>
      </w:tr>
    </w:tbl>
    <w:p/>
    <w:p>
      <w:r>
        <w:rPr>
          <w:rFonts w:ascii="Calibri" w:hAnsi="Calibri"/>
          <w:b/>
          <w:i w:val="0"/>
          <w:color w:val="1A365D"/>
          <w:sz w:val="22"/>
        </w:rPr>
        <w:t>Phase 3 — Galascope EPC</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Step</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Signatory</w:t>
            </w:r>
          </w:p>
        </w:tc>
      </w:tr>
      <w:tr>
        <w:tc>
          <w:tcPr>
            <w:tcW w:type="dxa" w:w="3135"/>
          </w:tcPr>
          <w:p>
            <w:r/>
            <w:r>
              <w:rPr>
                <w:rFonts w:ascii="Calibri" w:hAnsi="Calibri"/>
                <w:b w:val="0"/>
                <w:i w:val="0"/>
                <w:color w:val="000000"/>
                <w:sz w:val="18"/>
              </w:rPr>
              <w:t>3a</w:t>
            </w:r>
          </w:p>
        </w:tc>
        <w:tc>
          <w:tcPr>
            <w:tcW w:type="dxa" w:w="3135"/>
          </w:tcPr>
          <w:p>
            <w:r/>
            <w:r>
              <w:rPr>
                <w:rFonts w:ascii="Calibri" w:hAnsi="Calibri"/>
                <w:b w:val="0"/>
                <w:i w:val="0"/>
                <w:color w:val="000000"/>
                <w:sz w:val="18"/>
              </w:rPr>
              <w:t>Board minute approving EPC execution</w:t>
            </w:r>
          </w:p>
        </w:tc>
        <w:tc>
          <w:tcPr>
            <w:tcW w:type="dxa" w:w="3135"/>
          </w:tcPr>
          <w:p>
            <w:r/>
            <w:r>
              <w:rPr>
                <w:rFonts w:ascii="Calibri" w:hAnsi="Calibri"/>
                <w:b w:val="0"/>
                <w:i w:val="0"/>
                <w:color w:val="000000"/>
                <w:sz w:val="18"/>
              </w:rPr>
              <w:t>Alexander + Sybaris (LI director)</w:t>
            </w:r>
          </w:p>
        </w:tc>
      </w:tr>
      <w:tr>
        <w:tc>
          <w:tcPr>
            <w:tcW w:type="dxa" w:w="3135"/>
          </w:tcPr>
          <w:p>
            <w:r/>
            <w:r>
              <w:rPr>
                <w:rFonts w:ascii="Calibri" w:hAnsi="Calibri"/>
                <w:b w:val="0"/>
                <w:i w:val="0"/>
                <w:color w:val="000000"/>
                <w:sz w:val="18"/>
              </w:rPr>
              <w:t>3b</w:t>
            </w:r>
          </w:p>
        </w:tc>
        <w:tc>
          <w:tcPr>
            <w:tcW w:type="dxa" w:w="3135"/>
          </w:tcPr>
          <w:p>
            <w:r/>
            <w:r>
              <w:rPr>
                <w:rFonts w:ascii="Calibri" w:hAnsi="Calibri"/>
                <w:b w:val="0"/>
                <w:i w:val="0"/>
                <w:color w:val="000000"/>
                <w:sz w:val="18"/>
              </w:rPr>
              <w:t>Galascope EPC contract</w:t>
            </w:r>
          </w:p>
        </w:tc>
        <w:tc>
          <w:tcPr>
            <w:tcW w:type="dxa" w:w="3135"/>
          </w:tcPr>
          <w:p>
            <w:r/>
            <w:r>
              <w:rPr>
                <w:rFonts w:ascii="Calibri" w:hAnsi="Calibri"/>
                <w:b w:val="0"/>
                <w:i w:val="0"/>
                <w:color w:val="000000"/>
                <w:sz w:val="18"/>
              </w:rPr>
              <w:t>Per EPC execution block</w:t>
            </w:r>
          </w:p>
        </w:tc>
      </w:tr>
    </w:tbl>
    <w:p/>
    <w:p>
      <w:pPr>
        <w:spacing w:before="240"/>
      </w:pPr>
      <w:r>
        <w:rPr>
          <w:rFonts w:ascii="Calibri" w:hAnsi="Calibri"/>
          <w:b/>
          <w:i w:val="0"/>
          <w:color w:val="C9A432"/>
          <w:sz w:val="24"/>
        </w:rPr>
        <w:t>4. Recusal map (Section 191, Cap. 113)</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Agenda item</w:t>
            </w:r>
          </w:p>
        </w:tc>
        <w:tc>
          <w:tcPr>
            <w:tcW w:type="dxa" w:w="3135"/>
            <w:shd w:fill="1A365D" w:val="clear"/>
          </w:tcPr>
          <w:p>
            <w:r/>
            <w:r>
              <w:rPr>
                <w:rFonts w:ascii="Calibri" w:hAnsi="Calibri"/>
                <w:b/>
                <w:i w:val="0"/>
                <w:color w:val="FFFFFF"/>
                <w:sz w:val="18"/>
              </w:rPr>
              <w:t>Alexander Papacosta</w:t>
            </w:r>
          </w:p>
        </w:tc>
        <w:tc>
          <w:tcPr>
            <w:tcW w:type="dxa" w:w="3135"/>
            <w:shd w:fill="1A365D" w:val="clear"/>
          </w:tcPr>
          <w:p>
            <w:r/>
            <w:r>
              <w:rPr>
                <w:rFonts w:ascii="Calibri" w:hAnsi="Calibri"/>
                <w:b/>
                <w:i w:val="0"/>
                <w:color w:val="FFFFFF"/>
                <w:sz w:val="18"/>
              </w:rPr>
              <w:t>Dr. Sybaris (for LI)</w:t>
            </w:r>
          </w:p>
        </w:tc>
      </w:tr>
      <w:tr>
        <w:tc>
          <w:tcPr>
            <w:tcW w:type="dxa" w:w="3135"/>
          </w:tcPr>
          <w:p>
            <w:r/>
            <w:r>
              <w:rPr>
                <w:rFonts w:ascii="Calibri" w:hAnsi="Calibri"/>
                <w:b w:val="0"/>
                <w:i w:val="0"/>
                <w:color w:val="000000"/>
                <w:sz w:val="18"/>
              </w:rPr>
              <w:t>Moi Ostrov consultancy approval</w:t>
            </w:r>
          </w:p>
        </w:tc>
        <w:tc>
          <w:tcPr>
            <w:tcW w:type="dxa" w:w="3135"/>
          </w:tcPr>
          <w:p>
            <w:r/>
            <w:r>
              <w:rPr>
                <w:rFonts w:ascii="Calibri" w:hAnsi="Calibri"/>
                <w:b w:val="0"/>
                <w:i w:val="0"/>
                <w:color w:val="000000"/>
                <w:sz w:val="18"/>
              </w:rPr>
              <w:t>Recused — disclose interest; provide info only</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MD employment approval</w:t>
            </w:r>
          </w:p>
        </w:tc>
        <w:tc>
          <w:tcPr>
            <w:tcW w:type="dxa" w:w="3135"/>
          </w:tcPr>
          <w:p>
            <w:r/>
            <w:r>
              <w:rPr>
                <w:rFonts w:ascii="Calibri" w:hAnsi="Calibri"/>
                <w:b w:val="0"/>
                <w:i w:val="0"/>
                <w:color w:val="000000"/>
                <w:sz w:val="18"/>
              </w:rPr>
              <w:t>Recused</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D&amp;O deed (beneficiary = AP)</w:t>
            </w:r>
          </w:p>
        </w:tc>
        <w:tc>
          <w:tcPr>
            <w:tcW w:type="dxa" w:w="3135"/>
          </w:tcPr>
          <w:p>
            <w:r/>
            <w:r>
              <w:rPr>
                <w:rFonts w:ascii="Calibri" w:hAnsi="Calibri"/>
                <w:b w:val="0"/>
                <w:i w:val="0"/>
                <w:color w:val="000000"/>
                <w:sz w:val="18"/>
              </w:rPr>
              <w:t>Recused</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Authorise AP to sign LCY documents</w:t>
            </w:r>
          </w:p>
        </w:tc>
        <w:tc>
          <w:tcPr>
            <w:tcW w:type="dxa" w:w="3135"/>
          </w:tcPr>
          <w:p>
            <w:r/>
            <w:r>
              <w:rPr>
                <w:rFonts w:ascii="Calibri" w:hAnsi="Calibri"/>
                <w:b w:val="0"/>
                <w:i w:val="0"/>
                <w:color w:val="000000"/>
                <w:sz w:val="18"/>
              </w:rPr>
              <w:t>May participate (no personal benefit in authorisation itself)</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Equity side letter</w:t>
            </w:r>
          </w:p>
        </w:tc>
        <w:tc>
          <w:tcPr>
            <w:tcW w:type="dxa" w:w="3135"/>
          </w:tcPr>
          <w:p>
            <w:r/>
            <w:r>
              <w:rPr>
                <w:rFonts w:ascii="Calibri" w:hAnsi="Calibri"/>
                <w:b w:val="0"/>
                <w:i w:val="0"/>
                <w:color w:val="000000"/>
                <w:sz w:val="18"/>
              </w:rPr>
              <w:t>Recused</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Galascope EPC (commercial)</w:t>
            </w:r>
          </w:p>
        </w:tc>
        <w:tc>
          <w:tcPr>
            <w:tcW w:type="dxa" w:w="3135"/>
          </w:tcPr>
          <w:p>
            <w:r/>
            <w:r>
              <w:rPr>
                <w:rFonts w:ascii="Calibri" w:hAnsi="Calibri"/>
                <w:b w:val="0"/>
                <w:i w:val="0"/>
                <w:color w:val="000000"/>
                <w:sz w:val="18"/>
              </w:rPr>
              <w:t>May participate if no personal conflict</w:t>
            </w:r>
          </w:p>
        </w:tc>
        <w:tc>
          <w:tcPr>
            <w:tcW w:type="dxa" w:w="3135"/>
          </w:tcPr>
          <w:p>
            <w:r/>
            <w:r>
              <w:rPr>
                <w:rFonts w:ascii="Calibri" w:hAnsi="Calibri"/>
                <w:b w:val="0"/>
                <w:i w:val="0"/>
                <w:color w:val="000000"/>
                <w:sz w:val="18"/>
              </w:rPr>
              <w:t>Votes / approves</w:t>
            </w:r>
          </w:p>
        </w:tc>
      </w:tr>
    </w:tbl>
    <w:p/>
    <w:p>
      <w:pPr>
        <w:jc w:val="both"/>
      </w:pPr>
      <w:r>
        <w:rPr>
          <w:rFonts w:ascii="Calibri" w:hAnsi="Calibri"/>
          <w:b w:val="0"/>
          <w:i w:val="0"/>
          <w:color w:val="000000"/>
          <w:sz w:val="20"/>
        </w:rPr>
        <w:t>Minutes must record disclosure, withdrawal, and that the interested director did not vote.</w:t>
      </w:r>
    </w:p>
    <w:p>
      <w:pPr>
        <w:spacing w:before="240"/>
      </w:pPr>
      <w:r>
        <w:rPr>
          <w:rFonts w:ascii="Calibri" w:hAnsi="Calibri"/>
          <w:b/>
          <w:i w:val="0"/>
          <w:color w:val="C9A432"/>
          <w:sz w:val="24"/>
        </w:rPr>
        <w:t>5. What Sybaris signs in two different hats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Hat</w:t>
            </w:r>
          </w:p>
        </w:tc>
        <w:tc>
          <w:tcPr>
            <w:tcW w:type="dxa" w:w="3135"/>
            <w:shd w:fill="1A365D" w:val="clear"/>
          </w:tcPr>
          <w:p>
            <w:r/>
            <w:r>
              <w:rPr>
                <w:rFonts w:ascii="Calibri" w:hAnsi="Calibri"/>
                <w:b/>
                <w:i w:val="0"/>
                <w:color w:val="FFFFFF"/>
                <w:sz w:val="18"/>
              </w:rPr>
              <w:t>Documents</w:t>
            </w:r>
          </w:p>
        </w:tc>
        <w:tc>
          <w:tcPr>
            <w:tcW w:type="dxa" w:w="3135"/>
            <w:shd w:fill="1A365D" w:val="clear"/>
          </w:tcPr>
          <w:p>
            <w:r/>
            <w:r>
              <w:rPr>
                <w:rFonts w:ascii="Calibri" w:hAnsi="Calibri"/>
                <w:b/>
                <w:i w:val="0"/>
                <w:color w:val="FFFFFF"/>
                <w:sz w:val="18"/>
              </w:rPr>
              <w:t>Signature line</w:t>
            </w:r>
          </w:p>
        </w:tc>
      </w:tr>
      <w:tr>
        <w:tc>
          <w:tcPr>
            <w:tcW w:type="dxa" w:w="3135"/>
          </w:tcPr>
          <w:p>
            <w:r/>
            <w:r>
              <w:rPr>
                <w:rFonts w:ascii="Calibri" w:hAnsi="Calibri"/>
                <w:b w:val="0"/>
                <w:i w:val="0"/>
                <w:color w:val="000000"/>
                <w:sz w:val="18"/>
              </w:rPr>
              <w:t>A — Shareholder (LI)</w:t>
            </w:r>
          </w:p>
        </w:tc>
        <w:tc>
          <w:tcPr>
            <w:tcW w:type="dxa" w:w="3135"/>
          </w:tcPr>
          <w:p>
            <w:r/>
            <w:r>
              <w:rPr>
                <w:rFonts w:ascii="Calibri" w:hAnsi="Calibri"/>
                <w:b w:val="0"/>
                <w:i w:val="0"/>
                <w:color w:val="000000"/>
                <w:sz w:val="18"/>
              </w:rPr>
              <w:t>Annex A, LCY-SHR-EMP-2026-001, LCY-SHR-DO-2026-001, optional side-letter SHR</w:t>
            </w:r>
          </w:p>
        </w:tc>
        <w:tc>
          <w:tcPr>
            <w:tcW w:type="dxa" w:w="3135"/>
          </w:tcPr>
          <w:p>
            <w:r/>
            <w:r>
              <w:rPr>
                <w:rFonts w:ascii="Calibri" w:hAnsi="Calibri"/>
                <w:b w:val="0"/>
                <w:i w:val="0"/>
                <w:color w:val="000000"/>
                <w:sz w:val="18"/>
              </w:rPr>
              <w:t>"For and on behalf of Lighthief International Ltd"</w:t>
            </w:r>
          </w:p>
        </w:tc>
      </w:tr>
      <w:tr>
        <w:tc>
          <w:tcPr>
            <w:tcW w:type="dxa" w:w="3135"/>
          </w:tcPr>
          <w:p>
            <w:r/>
            <w:r>
              <w:rPr>
                <w:rFonts w:ascii="Calibri" w:hAnsi="Calibri"/>
                <w:b w:val="0"/>
                <w:i w:val="0"/>
                <w:color w:val="000000"/>
                <w:sz w:val="18"/>
              </w:rPr>
              <w:t>B — UBO personal</w:t>
            </w:r>
          </w:p>
        </w:tc>
        <w:tc>
          <w:tcPr>
            <w:tcW w:type="dxa" w:w="3135"/>
          </w:tcPr>
          <w:p>
            <w:r/>
            <w:r>
              <w:rPr>
                <w:rFonts w:ascii="Calibri" w:hAnsi="Calibri"/>
                <w:b w:val="0"/>
                <w:i w:val="0"/>
                <w:color w:val="000000"/>
                <w:sz w:val="18"/>
              </w:rPr>
              <w:t>Annex B only</w:t>
            </w:r>
          </w:p>
        </w:tc>
        <w:tc>
          <w:tcPr>
            <w:tcW w:type="dxa" w:w="3135"/>
          </w:tcPr>
          <w:p>
            <w:r/>
            <w:r>
              <w:rPr>
                <w:rFonts w:ascii="Calibri" w:hAnsi="Calibri"/>
                <w:b w:val="0"/>
                <w:i w:val="0"/>
                <w:color w:val="000000"/>
                <w:sz w:val="18"/>
              </w:rPr>
              <w:t>"I, Dr. Arkadiusz Sybaris" — personal undertaking</w:t>
            </w:r>
          </w:p>
        </w:tc>
      </w:tr>
      <w:tr>
        <w:tc>
          <w:tcPr>
            <w:tcW w:type="dxa" w:w="3135"/>
          </w:tcPr>
          <w:p>
            <w:r/>
            <w:r>
              <w:rPr>
                <w:rFonts w:ascii="Calibri" w:hAnsi="Calibri"/>
                <w:b w:val="0"/>
                <w:i w:val="0"/>
                <w:color w:val="000000"/>
                <w:sz w:val="18"/>
              </w:rPr>
              <w:t>C — Founder (equity)</w:t>
            </w:r>
          </w:p>
        </w:tc>
        <w:tc>
          <w:tcPr>
            <w:tcW w:type="dxa" w:w="3135"/>
          </w:tcPr>
          <w:p>
            <w:r/>
            <w:r>
              <w:rPr>
                <w:rFonts w:ascii="Calibri" w:hAnsi="Calibri"/>
                <w:b w:val="0"/>
                <w:i w:val="0"/>
                <w:color w:val="000000"/>
                <w:sz w:val="18"/>
              </w:rPr>
              <w:t>Side letter, Option A</w:t>
            </w:r>
          </w:p>
        </w:tc>
        <w:tc>
          <w:tcPr>
            <w:tcW w:type="dxa" w:w="3135"/>
          </w:tcPr>
          <w:p>
            <w:r/>
            <w:r>
              <w:rPr>
                <w:rFonts w:ascii="Calibri" w:hAnsi="Calibri"/>
                <w:b w:val="0"/>
                <w:i w:val="0"/>
                <w:color w:val="000000"/>
                <w:sz w:val="18"/>
              </w:rPr>
              <w:t>"Dr. Arkadiusz Sybaris" / Founder (may also reference LI)</w:t>
            </w:r>
          </w:p>
        </w:tc>
      </w:tr>
      <w:tr>
        <w:tc>
          <w:tcPr>
            <w:tcW w:type="dxa" w:w="3135"/>
          </w:tcPr>
          <w:p>
            <w:r/>
            <w:r>
              <w:rPr>
                <w:rFonts w:ascii="Calibri" w:hAnsi="Calibri"/>
                <w:b w:val="0"/>
                <w:i w:val="0"/>
                <w:color w:val="000000"/>
                <w:sz w:val="18"/>
              </w:rPr>
              <w:t>D — Board (LI corporate director)</w:t>
            </w:r>
          </w:p>
        </w:tc>
        <w:tc>
          <w:tcPr>
            <w:tcW w:type="dxa" w:w="3135"/>
          </w:tcPr>
          <w:p>
            <w:r/>
            <w:r>
              <w:rPr>
                <w:rFonts w:ascii="Calibri" w:hAnsi="Calibri"/>
                <w:b w:val="0"/>
                <w:i w:val="0"/>
                <w:color w:val="000000"/>
                <w:sz w:val="18"/>
              </w:rPr>
              <w:t>Board minutes — chair / LI director present</w:t>
            </w:r>
          </w:p>
        </w:tc>
        <w:tc>
          <w:tcPr>
            <w:tcW w:type="dxa" w:w="3135"/>
          </w:tcPr>
          <w:p>
            <w:r/>
            <w:r>
              <w:rPr>
                <w:rFonts w:ascii="Calibri" w:hAnsi="Calibri"/>
                <w:b w:val="0"/>
                <w:i w:val="0"/>
                <w:color w:val="000000"/>
                <w:sz w:val="18"/>
              </w:rPr>
              <w:t>Minutes attendance block</w:t>
            </w:r>
          </w:p>
        </w:tc>
      </w:tr>
    </w:tbl>
    <w:p/>
    <w:p>
      <w:pPr>
        <w:jc w:val="both"/>
      </w:pPr>
      <w:r>
        <w:rPr>
          <w:rFonts w:ascii="Calibri" w:hAnsi="Calibri"/>
          <w:b w:val="0"/>
          <w:i w:val="0"/>
          <w:color w:val="000000"/>
          <w:sz w:val="20"/>
        </w:rPr>
        <w:t>Annex B must not be signed "for Lighthief International" — it is personal.</w:t>
      </w:r>
    </w:p>
    <w:p>
      <w:pPr>
        <w:spacing w:before="240"/>
      </w:pPr>
      <w:r>
        <w:rPr>
          <w:rFonts w:ascii="Calibri" w:hAnsi="Calibri"/>
          <w:b/>
          <w:i w:val="0"/>
          <w:color w:val="C9A432"/>
          <w:sz w:val="24"/>
        </w:rPr>
        <w:t>6. Pre-sign checklist (summary)</w:t>
      </w:r>
    </w:p>
    <w:p>
      <w:pPr>
        <w:pStyle w:val="ListBullet"/>
      </w:pPr>
      <w:r>
        <w:rPr>
          <w:rFonts w:ascii="Calibri" w:hAnsi="Calibri"/>
          <w:b w:val="0"/>
          <w:i w:val="0"/>
          <w:color w:val="000000"/>
          <w:sz w:val="20"/>
        </w:rPr>
        <w:t>[ ] Payroll reconciliation Jul 2025–present (employment)</w:t>
      </w:r>
    </w:p>
    <w:p>
      <w:pPr>
        <w:pStyle w:val="ListBullet"/>
      </w:pPr>
      <w:r>
        <w:rPr>
          <w:rFonts w:ascii="Calibri" w:hAnsi="Calibri"/>
          <w:b w:val="0"/>
          <w:i w:val="0"/>
          <w:color w:val="000000"/>
          <w:sz w:val="20"/>
        </w:rPr>
        <w:t>[ ] Sybaris obtained independent legal advice (§7.1(f))</w:t>
      </w:r>
    </w:p>
    <w:p>
      <w:pPr>
        <w:pStyle w:val="ListBullet"/>
      </w:pPr>
      <w:r>
        <w:rPr>
          <w:rFonts w:ascii="Calibri" w:hAnsi="Calibri"/>
          <w:b w:val="0"/>
          <w:i w:val="0"/>
          <w:color w:val="000000"/>
          <w:sz w:val="20"/>
        </w:rPr>
        <w:t>[ ] D&amp;O quote obtained; secretary named</w:t>
      </w:r>
    </w:p>
    <w:p>
      <w:pPr>
        <w:pStyle w:val="ListBullet"/>
      </w:pPr>
      <w:r>
        <w:rPr>
          <w:rFonts w:ascii="Calibri" w:hAnsi="Calibri"/>
          <w:b w:val="0"/>
          <w:i w:val="0"/>
          <w:color w:val="000000"/>
          <w:sz w:val="20"/>
        </w:rPr>
        <w:t>[ ] Articles permit indemnity</w:t>
      </w:r>
    </w:p>
    <w:p>
      <w:pPr>
        <w:pStyle w:val="ListBullet"/>
      </w:pPr>
      <w:r>
        <w:rPr>
          <w:rFonts w:ascii="Calibri" w:hAnsi="Calibri"/>
          <w:b w:val="0"/>
          <w:i w:val="0"/>
          <w:color w:val="000000"/>
          <w:sz w:val="20"/>
        </w:rPr>
        <w:t>[ ] Registrar: LI corporate director + Sybaris as authorised rep</w:t>
      </w:r>
    </w:p>
    <w:p>
      <w:pPr>
        <w:pStyle w:val="ListBullet"/>
      </w:pPr>
      <w:r>
        <w:rPr>
          <w:rFonts w:ascii="Calibri" w:hAnsi="Calibri"/>
          <w:b w:val="0"/>
          <w:i w:val="0"/>
          <w:color w:val="000000"/>
          <w:sz w:val="20"/>
        </w:rPr>
        <w:t>[ ] Witnesses arranged for deeds (Consultancy Agreement, Annex B)</w:t>
      </w:r>
    </w:p>
    <w:p>
      <w:pPr>
        <w:pStyle w:val="ListBullet"/>
      </w:pPr>
      <w:r>
        <w:rPr>
          <w:rFonts w:ascii="Calibri" w:hAnsi="Calibri"/>
          <w:b w:val="0"/>
          <w:i w:val="0"/>
          <w:color w:val="000000"/>
          <w:sz w:val="20"/>
        </w:rPr>
        <w:t>[ ] No named investor in side letter / Option A if investor may read</w:t>
      </w:r>
    </w:p>
    <w:p>
      <w:pPr>
        <w:jc w:val="both"/>
      </w:pPr>
      <w:r>
        <w:rPr>
          <w:rFonts w:ascii="Calibri" w:hAnsi="Calibri"/>
          <w:b w:val="0"/>
          <w:i w:val="0"/>
          <w:color w:val="000000"/>
          <w:sz w:val="20"/>
        </w:rPr>
        <w:t>End of signing matrix — not legal advice.</w:t>
      </w:r>
    </w:p>
    <w:p>
      <w:pPr>
        <w:sectPr>
          <w:footerReference w:type="default" r:id="rId25"/>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MINUTES — MEETING OF THE BOARD OF DIRECTORS OF LIGHTHIEF CYPRUS LTD</w:t>
      </w:r>
    </w:p>
    <w:p/>
    <w:p>
      <w:pPr>
        <w:jc w:val="both"/>
      </w:pPr>
      <w:r>
        <w:rPr>
          <w:rFonts w:ascii="Calibri" w:hAnsi="Calibri"/>
          <w:b w:val="0"/>
          <w:i w:val="0"/>
          <w:color w:val="000000"/>
          <w:sz w:val="20"/>
        </w:rPr>
        <w:t>Ref: LCY-BRD-2026-001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Date: ______________________ 2026</w:t>
      </w:r>
    </w:p>
    <w:p>
      <w:pPr>
        <w:jc w:val="both"/>
      </w:pPr>
      <w:r>
        <w:rPr>
          <w:rFonts w:ascii="Calibri" w:hAnsi="Calibri"/>
          <w:b w:val="0"/>
          <w:i w:val="0"/>
          <w:color w:val="000000"/>
          <w:sz w:val="20"/>
        </w:rPr>
        <w:t>Time: ______________________</w:t>
      </w:r>
    </w:p>
    <w:p>
      <w:pPr>
        <w:jc w:val="both"/>
      </w:pPr>
      <w:r>
        <w:rPr>
          <w:rFonts w:ascii="Calibri" w:hAnsi="Calibri"/>
          <w:b w:val="0"/>
          <w:i w:val="0"/>
          <w:color w:val="000000"/>
          <w:sz w:val="20"/>
        </w:rPr>
        <w:t>Place: ______________________ / by video conference</w:t>
      </w:r>
    </w:p>
    <w:p>
      <w:pPr>
        <w:jc w:val="both"/>
      </w:pPr>
      <w:r>
        <w:rPr>
          <w:rFonts w:ascii="Calibri" w:hAnsi="Calibri"/>
          <w:b w:val="0"/>
          <w:i w:val="0"/>
          <w:color w:val="000000"/>
          <w:sz w:val="20"/>
        </w:rPr>
        <w:t>Status: DRAFT — Cyprus counsel review before adoption</w:t>
      </w:r>
    </w:p>
    <w:p>
      <w:pPr>
        <w:spacing w:before="240"/>
      </w:pPr>
      <w:r>
        <w:rPr>
          <w:rFonts w:ascii="Calibri" w:hAnsi="Calibri"/>
          <w:b/>
          <w:i w:val="0"/>
          <w:color w:val="C9A432"/>
          <w:sz w:val="24"/>
        </w:rPr>
        <w:t>1. Present</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Name</w:t>
            </w:r>
          </w:p>
        </w:tc>
        <w:tc>
          <w:tcPr>
            <w:tcW w:type="dxa" w:w="4703"/>
            <w:shd w:fill="1A365D" w:val="clear"/>
          </w:tcPr>
          <w:p>
            <w:r/>
            <w:r>
              <w:rPr>
                <w:rFonts w:ascii="Calibri" w:hAnsi="Calibri"/>
                <w:b/>
                <w:i w:val="0"/>
                <w:color w:val="FFFFFF"/>
                <w:sz w:val="18"/>
              </w:rPr>
              <w:t>Capacity</w:t>
            </w:r>
          </w:p>
        </w:tc>
      </w:tr>
      <w:tr>
        <w:tc>
          <w:tcPr>
            <w:tcW w:type="dxa" w:w="4703"/>
          </w:tcPr>
          <w:p>
            <w:r/>
            <w:r>
              <w:rPr>
                <w:rFonts w:ascii="Calibri" w:hAnsi="Calibri"/>
                <w:b w:val="0"/>
                <w:i w:val="0"/>
                <w:color w:val="000000"/>
                <w:sz w:val="18"/>
              </w:rPr>
              <w:t>Alexander Papacosta</w:t>
            </w:r>
          </w:p>
        </w:tc>
        <w:tc>
          <w:tcPr>
            <w:tcW w:type="dxa" w:w="4703"/>
          </w:tcPr>
          <w:p>
            <w:r/>
            <w:r>
              <w:rPr>
                <w:rFonts w:ascii="Calibri" w:hAnsi="Calibri"/>
                <w:b w:val="0"/>
                <w:i w:val="0"/>
                <w:color w:val="000000"/>
                <w:sz w:val="18"/>
              </w:rPr>
              <w:t>Director (natural person); Company Secretary</w:t>
            </w:r>
          </w:p>
        </w:tc>
      </w:tr>
      <w:tr>
        <w:tc>
          <w:tcPr>
            <w:tcW w:type="dxa" w:w="4703"/>
          </w:tcPr>
          <w:p>
            <w:r/>
            <w:r>
              <w:rPr>
                <w:rFonts w:ascii="Calibri" w:hAnsi="Calibri"/>
                <w:b w:val="0"/>
                <w:i w:val="0"/>
                <w:color w:val="000000"/>
                <w:sz w:val="18"/>
              </w:rPr>
              <w:t>Dr. Arkadiusz Sybaris</w:t>
            </w:r>
          </w:p>
        </w:tc>
        <w:tc>
          <w:tcPr>
            <w:tcW w:type="dxa" w:w="4703"/>
          </w:tcPr>
          <w:p>
            <w:r/>
            <w:r>
              <w:rPr>
                <w:rFonts w:ascii="Calibri" w:hAnsi="Calibri"/>
                <w:b w:val="0"/>
                <w:i w:val="0"/>
                <w:color w:val="000000"/>
                <w:sz w:val="18"/>
              </w:rPr>
              <w:t>Representing Lighthief International Ltd (corporate director); Ultimate Beneficial Owner of Lighthief International Ltd</w:t>
            </w:r>
          </w:p>
        </w:tc>
      </w:tr>
    </w:tbl>
    <w:p/>
    <w:p>
      <w:pPr>
        <w:jc w:val="both"/>
      </w:pPr>
      <w:r>
        <w:rPr>
          <w:rFonts w:ascii="Calibri" w:hAnsi="Calibri"/>
          <w:b w:val="0"/>
          <w:i w:val="0"/>
          <w:color w:val="000000"/>
          <w:sz w:val="20"/>
        </w:rPr>
        <w:t>Sole shareholder (not present as separate attendee): Lighthief International Ltd (100% of issued share capital). UBO: Dr. Arkadiusz Sybaris.</w:t>
      </w:r>
    </w:p>
    <w:p>
      <w:pPr>
        <w:jc w:val="both"/>
      </w:pPr>
      <w:r>
        <w:rPr>
          <w:rFonts w:ascii="Calibri" w:hAnsi="Calibri"/>
          <w:b w:val="0"/>
          <w:i w:val="0"/>
          <w:color w:val="000000"/>
          <w:sz w:val="20"/>
        </w:rPr>
        <w:t>In attendance (optional): ______________________ (Counsel / advisers — not directors)</w:t>
      </w:r>
    </w:p>
    <w:p>
      <w:pPr>
        <w:spacing w:before="240"/>
      </w:pPr>
      <w:r>
        <w:rPr>
          <w:rFonts w:ascii="Calibri" w:hAnsi="Calibri"/>
          <w:b/>
          <w:i w:val="0"/>
          <w:color w:val="C9A432"/>
          <w:sz w:val="24"/>
        </w:rPr>
        <w:t>2. Quorum and chair</w:t>
      </w:r>
    </w:p>
    <w:p>
      <w:pPr>
        <w:jc w:val="both"/>
      </w:pPr>
      <w:r>
        <w:rPr>
          <w:rFonts w:ascii="Calibri" w:hAnsi="Calibri"/>
          <w:b w:val="0"/>
          <w:i w:val="0"/>
          <w:color w:val="000000"/>
          <w:sz w:val="20"/>
        </w:rPr>
        <w:t>2.1 The Chair noted that two directors were present: Alexander Papacosta and Lighthief International Ltd (represented by Dr. Arkadiusz Sybaris). A quorum was present in accordance with the Articles.</w:t>
      </w:r>
    </w:p>
    <w:p>
      <w:pPr>
        <w:jc w:val="both"/>
      </w:pPr>
      <w:r>
        <w:rPr>
          <w:rFonts w:ascii="Calibri" w:hAnsi="Calibri"/>
          <w:b w:val="0"/>
          <w:i w:val="0"/>
          <w:color w:val="000000"/>
          <w:sz w:val="20"/>
        </w:rPr>
        <w:t>2.2 Dr. Arkadiusz Sybaris was appointed Chair for this meeting.</w:t>
      </w:r>
    </w:p>
    <w:p>
      <w:pPr>
        <w:spacing w:before="240"/>
      </w:pPr>
      <w:r>
        <w:rPr>
          <w:rFonts w:ascii="Calibri" w:hAnsi="Calibri"/>
          <w:b/>
          <w:i w:val="0"/>
          <w:color w:val="C9A432"/>
          <w:sz w:val="24"/>
        </w:rPr>
        <w:t>3. Declarations of interest (Section 191, Cap. 113)</w:t>
      </w:r>
    </w:p>
    <w:p>
      <w:pPr>
        <w:jc w:val="both"/>
      </w:pPr>
      <w:r>
        <w:rPr>
          <w:rFonts w:ascii="Calibri" w:hAnsi="Calibri"/>
          <w:b w:val="0"/>
          <w:i w:val="0"/>
          <w:color w:val="000000"/>
          <w:sz w:val="20"/>
        </w:rPr>
        <w:t>3.1 Alexander Papacosta declared that he is a director of Moi Ostrov Ltd (HE 319483), the proposed counterparty to the Team Operational Consultancy Agreement (LCY-MOI-TOCA-2026-001), and that fees under that agreement may be paid to Moi Ostrov Ltd in which he has an interest.</w:t>
      </w:r>
    </w:p>
    <w:p>
      <w:pPr>
        <w:jc w:val="both"/>
      </w:pPr>
      <w:r>
        <w:rPr>
          <w:rFonts w:ascii="Calibri" w:hAnsi="Calibri"/>
          <w:b w:val="0"/>
          <w:i w:val="0"/>
          <w:color w:val="000000"/>
          <w:sz w:val="20"/>
        </w:rPr>
        <w:t>3.2 Alexander Papacosta declared that he is the proposed Employee under the Managing Director Contract of Employment (LCY-EMP-AP-2026-001).</w:t>
      </w:r>
    </w:p>
    <w:p>
      <w:pPr>
        <w:jc w:val="both"/>
      </w:pPr>
      <w:r>
        <w:rPr>
          <w:rFonts w:ascii="Calibri" w:hAnsi="Calibri"/>
          <w:b w:val="0"/>
          <w:i w:val="0"/>
          <w:color w:val="000000"/>
          <w:sz w:val="20"/>
        </w:rPr>
        <w:t>3.3 Alexander Papacosta declared that he is a Beneficiary under the proposed Director &amp; Officer Protections deed (LCY-DIR-IND-2026-001).</w:t>
      </w:r>
    </w:p>
    <w:p>
      <w:pPr>
        <w:jc w:val="both"/>
      </w:pPr>
      <w:r>
        <w:rPr>
          <w:rFonts w:ascii="Calibri" w:hAnsi="Calibri"/>
          <w:b w:val="0"/>
          <w:i w:val="0"/>
          <w:color w:val="000000"/>
          <w:sz w:val="20"/>
        </w:rPr>
        <w:t>3.4 The Chair noted that Dr. Arkadiusz Sybaris is the ultimate beneficial owner of Lighthief International Ltd (sole shareholder) and that shareholder resolutions in respect of the above transactions would be passed separately by Lighthief International Ltd, signed by Dr. Sybaris as authorised signatory.</w:t>
      </w:r>
    </w:p>
    <w:p>
      <w:pPr>
        <w:spacing w:before="240"/>
      </w:pPr>
      <w:r>
        <w:rPr>
          <w:rFonts w:ascii="Calibri" w:hAnsi="Calibri"/>
          <w:b/>
          <w:i w:val="0"/>
          <w:color w:val="C9A432"/>
          <w:sz w:val="24"/>
        </w:rPr>
        <w:t>4. Team Operational Consultancy Agreement (Moi Ostrov Ltd)</w:t>
      </w:r>
    </w:p>
    <w:p>
      <w:pPr>
        <w:jc w:val="both"/>
      </w:pPr>
      <w:r>
        <w:rPr>
          <w:rFonts w:ascii="Calibri" w:hAnsi="Calibri"/>
          <w:b w:val="0"/>
          <w:i w:val="0"/>
          <w:color w:val="000000"/>
          <w:sz w:val="20"/>
        </w:rPr>
        <w:t>4.1 The Board received and considered the Team Operational Consultancy Agreement between the Company and Moi Ostrov Ltd (ref LCY-MOI-TOCA-2026-001), including Schedules 1–3 and Annexes A and B.</w:t>
      </w:r>
    </w:p>
    <w:p>
      <w:pPr>
        <w:jc w:val="both"/>
      </w:pPr>
      <w:r>
        <w:rPr>
          <w:rFonts w:ascii="Calibri" w:hAnsi="Calibri"/>
          <w:b w:val="0"/>
          <w:i w:val="0"/>
          <w:color w:val="000000"/>
          <w:sz w:val="20"/>
        </w:rPr>
        <w:t>4.2 Alexander Papacosta, having declared his interest, withdrew from the meeting for this item and did not participate in deliberations or voting.</w:t>
      </w:r>
    </w:p>
    <w:p>
      <w:pPr>
        <w:jc w:val="both"/>
      </w:pPr>
      <w:r>
        <w:rPr>
          <w:rFonts w:ascii="Calibri" w:hAnsi="Calibri"/>
          <w:b w:val="0"/>
          <w:i w:val="0"/>
          <w:color w:val="000000"/>
          <w:sz w:val="20"/>
        </w:rPr>
        <w:t>4.3 The Chair (Dr. Sybaris) noted the commercial rationale: (a) the Cyprus BESS pipeline was originated and structured by Alexander Papacosta; (b) Part A compensates origination on the Schedule 1 portfolio; (c) Part B provides operational services at market rates; (d) shareholder approval would be sought via written resolution of Lighthief International Ltd (Annex A).</w:t>
      </w:r>
    </w:p>
    <w:p>
      <w:pPr>
        <w:jc w:val="both"/>
      </w:pPr>
      <w:r>
        <w:rPr>
          <w:rFonts w:ascii="Calibri" w:hAnsi="Calibri"/>
          <w:b w:val="0"/>
          <w:i w:val="0"/>
          <w:color w:val="000000"/>
          <w:sz w:val="20"/>
        </w:rPr>
        <w:t>4.4 RESOLVED that:</w:t>
      </w:r>
    </w:p>
    <w:p>
      <w:pPr>
        <w:jc w:val="both"/>
      </w:pPr>
      <w:r>
        <w:rPr>
          <w:rFonts w:ascii="Calibri" w:hAnsi="Calibri"/>
          <w:b w:val="0"/>
          <w:i w:val="0"/>
          <w:color w:val="000000"/>
          <w:sz w:val="20"/>
        </w:rPr>
        <w:t>(a) subject to shareholder approval, the Company enter into the Consultancy Agreement substantially in the form circulated;</w:t>
      </w:r>
    </w:p>
    <w:p>
      <w:pPr>
        <w:jc w:val="both"/>
      </w:pPr>
      <w:r>
        <w:rPr>
          <w:rFonts w:ascii="Calibri" w:hAnsi="Calibri"/>
          <w:b w:val="0"/>
          <w:i w:val="0"/>
          <w:color w:val="000000"/>
          <w:sz w:val="20"/>
        </w:rPr>
        <w:t>(b) Alexander Papacosta be authorised to execute the Consultancy Agreement on behalf of the Company as a deed, notwithstanding his directorship of Moi Ostrov Ltd, such execution to occur only after Annex A (shareholder resolution) and Annex B (UBO personal undertaking) are executed by Dr. Arkadiusz Sybaris;</w:t>
      </w:r>
    </w:p>
    <w:p>
      <w:pPr>
        <w:jc w:val="both"/>
      </w:pPr>
      <w:r>
        <w:rPr>
          <w:rFonts w:ascii="Calibri" w:hAnsi="Calibri"/>
          <w:b w:val="0"/>
          <w:i w:val="0"/>
          <w:color w:val="000000"/>
          <w:sz w:val="20"/>
        </w:rPr>
        <w:t>(c) the Company Secretary file a copy of the executed agreement and resolutions in the statutory books.</w:t>
      </w:r>
    </w:p>
    <w:p>
      <w:pPr>
        <w:jc w:val="both"/>
      </w:pPr>
      <w:r>
        <w:rPr>
          <w:rFonts w:ascii="Calibri" w:hAnsi="Calibri"/>
          <w:b w:val="0"/>
          <w:i w:val="0"/>
          <w:color w:val="000000"/>
          <w:sz w:val="20"/>
        </w:rPr>
        <w:t>4.5 Alexander Papacosta returned to the meeting.</w:t>
      </w:r>
    </w:p>
    <w:p>
      <w:pPr>
        <w:spacing w:before="240"/>
      </w:pPr>
      <w:r>
        <w:rPr>
          <w:rFonts w:ascii="Calibri" w:hAnsi="Calibri"/>
          <w:b/>
          <w:i w:val="0"/>
          <w:color w:val="C9A432"/>
          <w:sz w:val="24"/>
        </w:rPr>
        <w:t>5. Managing Director — Contract of Employment</w:t>
      </w:r>
    </w:p>
    <w:p>
      <w:pPr>
        <w:jc w:val="both"/>
      </w:pPr>
      <w:r>
        <w:rPr>
          <w:rFonts w:ascii="Calibri" w:hAnsi="Calibri"/>
          <w:b w:val="0"/>
          <w:i w:val="0"/>
          <w:color w:val="000000"/>
          <w:sz w:val="20"/>
        </w:rPr>
        <w:t>5.1 The Board received the Contract of Employment between the Company and Alexander Papacosta (ref LCY-EMP-AP-2026-001), providing €2,000 net per month from 1 July 2025 until the Galascope EPC Effective Date and €5,000 gross per month thereafter.</w:t>
      </w:r>
    </w:p>
    <w:p>
      <w:pPr>
        <w:jc w:val="both"/>
      </w:pPr>
      <w:r>
        <w:rPr>
          <w:rFonts w:ascii="Calibri" w:hAnsi="Calibri"/>
          <w:b w:val="0"/>
          <w:i w:val="0"/>
          <w:color w:val="000000"/>
          <w:sz w:val="20"/>
        </w:rPr>
        <w:t>5.2 Alexander Papacosta, having declared his interest, withdrew for this item.</w:t>
      </w:r>
    </w:p>
    <w:p>
      <w:pPr>
        <w:jc w:val="both"/>
      </w:pPr>
      <w:r>
        <w:rPr>
          <w:rFonts w:ascii="Calibri" w:hAnsi="Calibri"/>
          <w:b w:val="0"/>
          <w:i w:val="0"/>
          <w:color w:val="000000"/>
          <w:sz w:val="20"/>
        </w:rPr>
        <w:t>5.3 The Chair noted that employment remuneration is separate from Moi Ostrov introducer fees and any equity side letter; payroll adviser reconciliation of historic PAYE/NIS from 1 July 2025 is required before execution.</w:t>
      </w:r>
    </w:p>
    <w:p>
      <w:pPr>
        <w:jc w:val="both"/>
      </w:pPr>
      <w:r>
        <w:rPr>
          <w:rFonts w:ascii="Calibri" w:hAnsi="Calibri"/>
          <w:b w:val="0"/>
          <w:i w:val="0"/>
          <w:color w:val="000000"/>
          <w:sz w:val="20"/>
        </w:rPr>
        <w:t>5.4 RESOLVED that:</w:t>
      </w:r>
    </w:p>
    <w:p>
      <w:pPr>
        <w:jc w:val="both"/>
      </w:pPr>
      <w:r>
        <w:rPr>
          <w:rFonts w:ascii="Calibri" w:hAnsi="Calibri"/>
          <w:b w:val="0"/>
          <w:i w:val="0"/>
          <w:color w:val="000000"/>
          <w:sz w:val="20"/>
        </w:rPr>
        <w:t>(a) subject to shareholder written resolution LCY-SHR-EMP-2026-001, the Employment Agreement be approved;</w:t>
      </w:r>
    </w:p>
    <w:p>
      <w:pPr>
        <w:jc w:val="both"/>
      </w:pPr>
      <w:r>
        <w:rPr>
          <w:rFonts w:ascii="Calibri" w:hAnsi="Calibri"/>
          <w:b w:val="0"/>
          <w:i w:val="0"/>
          <w:color w:val="000000"/>
          <w:sz w:val="20"/>
        </w:rPr>
        <w:t>(b) Alexander Papacosta be authorised to execute the Employment Agreement on behalf of the Company and in his personal capacity as Employee, such execution to occur only after LCY-SHR-EMP-2026-001 is signed by Dr. Sybaris for Lighthief International Ltd;</w:t>
      </w:r>
    </w:p>
    <w:p>
      <w:pPr>
        <w:jc w:val="both"/>
      </w:pPr>
      <w:r>
        <w:rPr>
          <w:rFonts w:ascii="Calibri" w:hAnsi="Calibri"/>
          <w:b w:val="0"/>
          <w:i w:val="0"/>
          <w:color w:val="000000"/>
          <w:sz w:val="20"/>
        </w:rPr>
        <w:t>(c) the Company Secretary procure payroll reconciliation as described in the Employment Agreement §2.1A.</w:t>
      </w:r>
    </w:p>
    <w:p>
      <w:pPr>
        <w:jc w:val="both"/>
      </w:pPr>
      <w:r>
        <w:rPr>
          <w:rFonts w:ascii="Calibri" w:hAnsi="Calibri"/>
          <w:b w:val="0"/>
          <w:i w:val="0"/>
          <w:color w:val="000000"/>
          <w:sz w:val="20"/>
        </w:rPr>
        <w:t>5.5 Alexander Papacosta returned to the meeting.</w:t>
      </w:r>
    </w:p>
    <w:p>
      <w:pPr>
        <w:spacing w:before="240"/>
      </w:pPr>
      <w:r>
        <w:rPr>
          <w:rFonts w:ascii="Calibri" w:hAnsi="Calibri"/>
          <w:b/>
          <w:i w:val="0"/>
          <w:color w:val="C9A432"/>
          <w:sz w:val="24"/>
        </w:rPr>
        <w:t>6. Director &amp; Officer Protections (D&amp;O and indemnity)</w:t>
      </w:r>
    </w:p>
    <w:p>
      <w:pPr>
        <w:jc w:val="both"/>
      </w:pPr>
      <w:r>
        <w:rPr>
          <w:rFonts w:ascii="Calibri" w:hAnsi="Calibri"/>
          <w:b w:val="0"/>
          <w:i w:val="0"/>
          <w:color w:val="000000"/>
          <w:sz w:val="20"/>
        </w:rPr>
        <w:t>6.1 The Board received the draft Director &amp; Officer Protections deed (ref LCY-DIR-IND-2026-001), including D&amp;O insurance and Cap. 113 indemnity for Alexander Papacosta as director and company secretary.</w:t>
      </w:r>
    </w:p>
    <w:p>
      <w:pPr>
        <w:jc w:val="both"/>
      </w:pPr>
      <w:r>
        <w:rPr>
          <w:rFonts w:ascii="Calibri" w:hAnsi="Calibri"/>
          <w:b w:val="0"/>
          <w:i w:val="0"/>
          <w:color w:val="000000"/>
          <w:sz w:val="20"/>
        </w:rPr>
        <w:t>6.2 Alexander Papacosta, having declared his interest, withdrew for this item.</w:t>
      </w:r>
    </w:p>
    <w:p>
      <w:pPr>
        <w:jc w:val="both"/>
      </w:pPr>
      <w:r>
        <w:rPr>
          <w:rFonts w:ascii="Calibri" w:hAnsi="Calibri"/>
          <w:b w:val="0"/>
          <w:i w:val="0"/>
          <w:color w:val="000000"/>
          <w:sz w:val="20"/>
        </w:rPr>
        <w:t>6.3 RESOLVED that:</w:t>
      </w:r>
    </w:p>
    <w:p>
      <w:pPr>
        <w:jc w:val="both"/>
      </w:pPr>
      <w:r>
        <w:rPr>
          <w:rFonts w:ascii="Calibri" w:hAnsi="Calibri"/>
          <w:b w:val="0"/>
          <w:i w:val="0"/>
          <w:color w:val="000000"/>
          <w:sz w:val="20"/>
        </w:rPr>
        <w:t>(a) subject to shareholder written resolution LCY-SHR-DO-2026-001, the Company enter into the D&amp;O deed substantially in the form circulated;</w:t>
      </w:r>
    </w:p>
    <w:p>
      <w:pPr>
        <w:jc w:val="both"/>
      </w:pPr>
      <w:r>
        <w:rPr>
          <w:rFonts w:ascii="Calibri" w:hAnsi="Calibri"/>
          <w:b w:val="0"/>
          <w:i w:val="0"/>
          <w:color w:val="000000"/>
          <w:sz w:val="20"/>
        </w:rPr>
        <w:t>(b) the directors procure D&amp;O insurance naming Alexander Papacosta and authorised representatives of Lighthief International Ltd as insured persons;</w:t>
      </w:r>
    </w:p>
    <w:p>
      <w:pPr>
        <w:jc w:val="both"/>
      </w:pPr>
      <w:r>
        <w:rPr>
          <w:rFonts w:ascii="Calibri" w:hAnsi="Calibri"/>
          <w:b w:val="0"/>
          <w:i w:val="0"/>
          <w:color w:val="000000"/>
          <w:sz w:val="20"/>
        </w:rPr>
        <w:t>(c) Alexander Papacosta be authorised to execute the D&amp;O deed on behalf of the Company as Beneficiary after LCY-SHR-DO-2026-001 is signed.</w:t>
      </w:r>
    </w:p>
    <w:p>
      <w:pPr>
        <w:jc w:val="both"/>
      </w:pPr>
      <w:r>
        <w:rPr>
          <w:rFonts w:ascii="Calibri" w:hAnsi="Calibri"/>
          <w:b w:val="0"/>
          <w:i w:val="0"/>
          <w:color w:val="000000"/>
          <w:sz w:val="20"/>
        </w:rPr>
        <w:t>6.4 Alexander Papacosta returned to the meeting.</w:t>
      </w:r>
    </w:p>
    <w:p>
      <w:pPr>
        <w:spacing w:before="240"/>
      </w:pPr>
      <w:r>
        <w:rPr>
          <w:rFonts w:ascii="Calibri" w:hAnsi="Calibri"/>
          <w:b/>
          <w:i w:val="0"/>
          <w:color w:val="C9A432"/>
          <w:sz w:val="24"/>
        </w:rPr>
        <w:t>7. Shareholder resolutions — note</w:t>
      </w:r>
    </w:p>
    <w:p>
      <w:pPr>
        <w:jc w:val="both"/>
      </w:pPr>
      <w:r>
        <w:rPr>
          <w:rFonts w:ascii="Calibri" w:hAnsi="Calibri"/>
          <w:b w:val="0"/>
          <w:i w:val="0"/>
          <w:color w:val="000000"/>
          <w:sz w:val="20"/>
        </w:rPr>
        <w:t>7.1 The Board noted that the following written resolutions of Lighthief International Ltd as sole shareholder are to be passed  separately and signed by Dr. Arkadiusz Sybaris as authorised signatory (not by Alexander Papacosta):</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Resolution</w:t>
            </w:r>
          </w:p>
        </w:tc>
        <w:tc>
          <w:tcPr>
            <w:tcW w:type="dxa" w:w="4703"/>
            <w:shd w:fill="1A365D" w:val="clear"/>
          </w:tcPr>
          <w:p>
            <w:r/>
            <w:r>
              <w:rPr>
                <w:rFonts w:ascii="Calibri" w:hAnsi="Calibri"/>
                <w:b/>
                <w:i w:val="0"/>
                <w:color w:val="FFFFFF"/>
                <w:sz w:val="18"/>
              </w:rPr>
              <w:t>Ref</w:t>
            </w:r>
          </w:p>
        </w:tc>
      </w:tr>
      <w:tr>
        <w:tc>
          <w:tcPr>
            <w:tcW w:type="dxa" w:w="4703"/>
          </w:tcPr>
          <w:p>
            <w:r/>
            <w:r>
              <w:rPr>
                <w:rFonts w:ascii="Calibri" w:hAnsi="Calibri"/>
                <w:b w:val="0"/>
                <w:i w:val="0"/>
                <w:color w:val="000000"/>
                <w:sz w:val="18"/>
              </w:rPr>
              <w:t>Consultancy Agreement approval</w:t>
            </w:r>
          </w:p>
        </w:tc>
        <w:tc>
          <w:tcPr>
            <w:tcW w:type="dxa" w:w="4703"/>
          </w:tcPr>
          <w:p>
            <w:r/>
            <w:r>
              <w:rPr>
                <w:rFonts w:ascii="Calibri" w:hAnsi="Calibri"/>
                <w:b w:val="0"/>
                <w:i w:val="0"/>
                <w:color w:val="000000"/>
                <w:sz w:val="18"/>
              </w:rPr>
              <w:t>Annex A to LCY-MOI-TOCA-2026-001</w:t>
            </w:r>
          </w:p>
        </w:tc>
      </w:tr>
      <w:tr>
        <w:tc>
          <w:tcPr>
            <w:tcW w:type="dxa" w:w="4703"/>
          </w:tcPr>
          <w:p>
            <w:r/>
            <w:r>
              <w:rPr>
                <w:rFonts w:ascii="Calibri" w:hAnsi="Calibri"/>
                <w:b w:val="0"/>
                <w:i w:val="0"/>
                <w:color w:val="000000"/>
                <w:sz w:val="18"/>
              </w:rPr>
              <w:t>MD employment approval</w:t>
            </w:r>
          </w:p>
        </w:tc>
        <w:tc>
          <w:tcPr>
            <w:tcW w:type="dxa" w:w="4703"/>
          </w:tcPr>
          <w:p>
            <w:r/>
            <w:r>
              <w:rPr>
                <w:rFonts w:ascii="Calibri" w:hAnsi="Calibri"/>
                <w:b w:val="0"/>
                <w:i w:val="0"/>
                <w:color w:val="000000"/>
                <w:sz w:val="18"/>
              </w:rPr>
              <w:t>LCY-SHR-EMP-2026-001</w:t>
            </w:r>
          </w:p>
        </w:tc>
      </w:tr>
      <w:tr>
        <w:tc>
          <w:tcPr>
            <w:tcW w:type="dxa" w:w="4703"/>
          </w:tcPr>
          <w:p>
            <w:r/>
            <w:r>
              <w:rPr>
                <w:rFonts w:ascii="Calibri" w:hAnsi="Calibri"/>
                <w:b w:val="0"/>
                <w:i w:val="0"/>
                <w:color w:val="000000"/>
                <w:sz w:val="18"/>
              </w:rPr>
              <w:t>D&amp;O insurance and indemnity</w:t>
            </w:r>
          </w:p>
        </w:tc>
        <w:tc>
          <w:tcPr>
            <w:tcW w:type="dxa" w:w="4703"/>
          </w:tcPr>
          <w:p>
            <w:r/>
            <w:r>
              <w:rPr>
                <w:rFonts w:ascii="Calibri" w:hAnsi="Calibri"/>
                <w:b w:val="0"/>
                <w:i w:val="0"/>
                <w:color w:val="000000"/>
                <w:sz w:val="18"/>
              </w:rPr>
              <w:t>LCY-SHR-DO-2026-001</w:t>
            </w:r>
          </w:p>
        </w:tc>
      </w:tr>
    </w:tbl>
    <w:p/>
    <w:p>
      <w:pPr>
        <w:jc w:val="both"/>
      </w:pPr>
      <w:r>
        <w:rPr>
          <w:rFonts w:ascii="Calibri" w:hAnsi="Calibri"/>
          <w:b w:val="0"/>
          <w:i w:val="0"/>
          <w:color w:val="000000"/>
          <w:sz w:val="20"/>
        </w:rPr>
        <w:t>7.2 The Board noted that Annex B (UBO personal undertaking) is signed by Dr. Arkadiusz Sybaris in his personal capacity, not for Lighthief International Ltd.</w:t>
      </w:r>
    </w:p>
    <w:p>
      <w:pPr>
        <w:spacing w:before="240"/>
      </w:pPr>
      <w:r>
        <w:rPr>
          <w:rFonts w:ascii="Calibri" w:hAnsi="Calibri"/>
          <w:b/>
          <w:i w:val="0"/>
          <w:color w:val="C9A432"/>
          <w:sz w:val="24"/>
        </w:rPr>
        <w:t>8. Option A — Founder runway heads (if applicable)</w:t>
      </w:r>
    </w:p>
    <w:p>
      <w:pPr>
        <w:jc w:val="both"/>
      </w:pPr>
      <w:r>
        <w:rPr>
          <w:rFonts w:ascii="Calibri" w:hAnsi="Calibri"/>
          <w:b w:val="0"/>
          <w:i w:val="0"/>
          <w:color w:val="000000"/>
          <w:sz w:val="20"/>
        </w:rPr>
        <w:t>8.1 The Board noted the draft Option A — Founder Runway &amp; MD Economics (LCY-OPT-A-2026-001) for discussion with the Founder.</w:t>
      </w:r>
    </w:p>
    <w:p>
      <w:pPr>
        <w:jc w:val="both"/>
      </w:pPr>
      <w:r>
        <w:rPr>
          <w:rFonts w:ascii="Calibri" w:hAnsi="Calibri"/>
          <w:b w:val="0"/>
          <w:i w:val="0"/>
          <w:color w:val="000000"/>
          <w:sz w:val="20"/>
        </w:rPr>
        <w:t>8.2 RESOLVED (if heads to be signed now): that Alexander Papacosta be authorised to execute Option A on behalf of the Company, subject to Founder signature by Dr. Arkadiusz Sybaris.</w:t>
      </w:r>
    </w:p>
    <w:p>
      <w:pPr>
        <w:jc w:val="both"/>
      </w:pPr>
      <w:r>
        <w:rPr>
          <w:rFonts w:ascii="Calibri" w:hAnsi="Calibri"/>
          <w:b w:val="0"/>
          <w:i w:val="0"/>
          <w:color w:val="000000"/>
          <w:sz w:val="20"/>
        </w:rPr>
        <w:t>(Delete §8.2 if Option A deferred.)</w:t>
      </w:r>
    </w:p>
    <w:p>
      <w:pPr>
        <w:spacing w:before="240"/>
      </w:pPr>
      <w:r>
        <w:rPr>
          <w:rFonts w:ascii="Calibri" w:hAnsi="Calibri"/>
          <w:b/>
          <w:i w:val="0"/>
          <w:color w:val="C9A432"/>
          <w:sz w:val="24"/>
        </w:rPr>
        <w:t>9. General</w:t>
      </w:r>
    </w:p>
    <w:p>
      <w:pPr>
        <w:jc w:val="both"/>
      </w:pPr>
      <w:r>
        <w:rPr>
          <w:rFonts w:ascii="Calibri" w:hAnsi="Calibri"/>
          <w:b w:val="0"/>
          <w:i w:val="0"/>
          <w:color w:val="000000"/>
          <w:sz w:val="20"/>
        </w:rPr>
        <w:t>9.1 RESOLVED that the Company Secretary be authorised to do all acts necessary to give effect to these resolutions, including filing documents with the statutory registers.</w:t>
      </w:r>
    </w:p>
    <w:p>
      <w:pPr>
        <w:jc w:val="both"/>
      </w:pPr>
      <w:r>
        <w:rPr>
          <w:rFonts w:ascii="Calibri" w:hAnsi="Calibri"/>
          <w:b w:val="0"/>
          <w:i w:val="0"/>
          <w:color w:val="000000"/>
          <w:sz w:val="20"/>
        </w:rPr>
        <w:t>9.2 There being no further business, the Chair declared the meeting closed at ______________________.</w:t>
      </w:r>
    </w:p>
    <w:p>
      <w:pPr>
        <w:spacing w:before="240"/>
      </w:pPr>
      <w:r>
        <w:rPr>
          <w:rFonts w:ascii="Calibri" w:hAnsi="Calibri"/>
          <w:b/>
          <w:i w:val="0"/>
          <w:color w:val="C9A432"/>
          <w:sz w:val="24"/>
        </w:rPr>
        <w:t>10. Signatures — adoption of minutes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r>
          </w:p>
        </w:tc>
        <w:tc>
          <w:tcPr>
            <w:tcW w:type="dxa" w:w="4703"/>
            <w:shd w:fill="1A365D" w:val="clear"/>
          </w:tcPr>
          <w:p>
            <w:r/>
            <w:r>
              <w:rPr>
                <w:rFonts w:ascii="Calibri" w:hAnsi="Calibri"/>
                <w:b/>
                <w:i w:val="0"/>
                <w:color w:val="FFFFFF"/>
                <w:sz w:val="18"/>
              </w:rPr>
            </w:r>
          </w:p>
        </w:tc>
      </w:tr>
      <w:tr>
        <w:tc>
          <w:tcPr>
            <w:tcW w:type="dxa" w:w="4703"/>
          </w:tcPr>
          <w:p>
            <w:r/>
            <w:r>
              <w:rPr>
                <w:rFonts w:ascii="Calibri" w:hAnsi="Calibri"/>
                <w:b w:val="0"/>
                <w:i w:val="0"/>
                <w:color w:val="000000"/>
                <w:sz w:val="18"/>
              </w:rPr>
              <w:t>Chair</w:t>
            </w:r>
          </w:p>
        </w:tc>
        <w:tc>
          <w:tcPr>
            <w:tcW w:type="dxa" w:w="4703"/>
          </w:tcPr>
          <w:p>
            <w:r/>
            <w:r>
              <w:rPr>
                <w:rFonts w:ascii="Calibri" w:hAnsi="Calibri"/>
                <w:b w:val="0"/>
                <w:i w:val="0"/>
                <w:color w:val="000000"/>
                <w:sz w:val="18"/>
              </w:rPr>
              <w:t>______________________________</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Dr. Arkadiusz Sybaris</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(for Lighthief International Ltd — corporate director)</w:t>
            </w:r>
          </w:p>
        </w:tc>
      </w:tr>
      <w:tr>
        <w:tc>
          <w:tcPr>
            <w:tcW w:type="dxa" w:w="4703"/>
          </w:tcPr>
          <w:p>
            <w:r/>
            <w:r>
              <w:rPr>
                <w:rFonts w:ascii="Calibri" w:hAnsi="Calibri"/>
                <w:b w:val="0"/>
                <w:i w:val="0"/>
                <w:color w:val="000000"/>
                <w:sz w:val="18"/>
              </w:rPr>
              <w:t>Date</w:t>
            </w:r>
          </w:p>
        </w:tc>
        <w:tc>
          <w:tcPr>
            <w:tcW w:type="dxa" w:w="4703"/>
          </w:tcPr>
          <w:p>
            <w:r/>
            <w:r>
              <w:rPr>
                <w:rFonts w:ascii="Calibri" w:hAnsi="Calibri"/>
                <w:b w:val="0"/>
                <w:i w:val="0"/>
                <w:color w:val="000000"/>
                <w:sz w:val="18"/>
              </w:rPr>
              <w:t>______________________</w:t>
            </w:r>
          </w:p>
        </w:tc>
      </w:tr>
    </w:tbl>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r>
          </w:p>
        </w:tc>
        <w:tc>
          <w:tcPr>
            <w:tcW w:type="dxa" w:w="4703"/>
            <w:shd w:fill="1A365D" w:val="clear"/>
          </w:tcPr>
          <w:p>
            <w:r/>
            <w:r>
              <w:rPr>
                <w:rFonts w:ascii="Calibri" w:hAnsi="Calibri"/>
                <w:b/>
                <w:i w:val="0"/>
                <w:color w:val="FFFFFF"/>
                <w:sz w:val="18"/>
              </w:rPr>
            </w:r>
          </w:p>
        </w:tc>
      </w:tr>
      <w:tr>
        <w:tc>
          <w:tcPr>
            <w:tcW w:type="dxa" w:w="4703"/>
          </w:tcPr>
          <w:p>
            <w:r/>
            <w:r>
              <w:rPr>
                <w:rFonts w:ascii="Calibri" w:hAnsi="Calibri"/>
                <w:b w:val="0"/>
                <w:i w:val="0"/>
                <w:color w:val="000000"/>
                <w:sz w:val="18"/>
              </w:rPr>
              <w:t>Company Secretary</w:t>
            </w:r>
          </w:p>
        </w:tc>
        <w:tc>
          <w:tcPr>
            <w:tcW w:type="dxa" w:w="4703"/>
          </w:tcPr>
          <w:p>
            <w:r/>
            <w:r>
              <w:rPr>
                <w:rFonts w:ascii="Calibri" w:hAnsi="Calibri"/>
                <w:b w:val="0"/>
                <w:i w:val="0"/>
                <w:color w:val="000000"/>
                <w:sz w:val="18"/>
              </w:rPr>
              <w:t>______________________________</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Alexander Papacosta</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(certifies these minutes as a true record)</w:t>
            </w:r>
          </w:p>
        </w:tc>
      </w:tr>
      <w:tr>
        <w:tc>
          <w:tcPr>
            <w:tcW w:type="dxa" w:w="4703"/>
          </w:tcPr>
          <w:p>
            <w:r/>
            <w:r>
              <w:rPr>
                <w:rFonts w:ascii="Calibri" w:hAnsi="Calibri"/>
                <w:b w:val="0"/>
                <w:i w:val="0"/>
                <w:color w:val="000000"/>
                <w:sz w:val="18"/>
              </w:rPr>
              <w:t>Date</w:t>
            </w:r>
          </w:p>
        </w:tc>
        <w:tc>
          <w:tcPr>
            <w:tcW w:type="dxa" w:w="4703"/>
          </w:tcPr>
          <w:p>
            <w:r/>
            <w:r>
              <w:rPr>
                <w:rFonts w:ascii="Calibri" w:hAnsi="Calibri"/>
                <w:b w:val="0"/>
                <w:i w:val="0"/>
                <w:color w:val="000000"/>
                <w:sz w:val="18"/>
              </w:rPr>
              <w:t>______________________</w:t>
            </w:r>
          </w:p>
        </w:tc>
      </w:tr>
    </w:tbl>
    <w:p/>
    <w:p>
      <w:pPr>
        <w:jc w:val="both"/>
      </w:pPr>
      <w:r>
        <w:rPr>
          <w:rFonts w:ascii="Calibri" w:hAnsi="Calibri"/>
          <w:b w:val="0"/>
          <w:i w:val="0"/>
          <w:color w:val="000000"/>
          <w:sz w:val="20"/>
        </w:rPr>
        <w:t>End of minutes — Phase 1. Not legal advice.</w:t>
      </w:r>
    </w:p>
    <w:p>
      <w:pPr>
        <w:sectPr>
          <w:footerReference w:type="default" r:id="rId26"/>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MINUTES — MEETING OF THE BOARD OF DIRECTORS OF LIGHTHIEF CYPRUS LTD</w:t>
      </w:r>
    </w:p>
    <w:p/>
    <w:p>
      <w:pPr>
        <w:jc w:val="both"/>
      </w:pPr>
      <w:r>
        <w:rPr>
          <w:rFonts w:ascii="Calibri" w:hAnsi="Calibri"/>
          <w:b w:val="0"/>
          <w:i w:val="0"/>
          <w:color w:val="000000"/>
          <w:sz w:val="20"/>
        </w:rPr>
        <w:t>Ref: LCY-BRD-2026-002</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Date: ______________________ 2026 *(before first investor tranche)</w:t>
      </w:r>
    </w:p>
    <w:p>
      <w:pPr>
        <w:jc w:val="both"/>
      </w:pPr>
      <w:r>
        <w:rPr>
          <w:rFonts w:ascii="Calibri" w:hAnsi="Calibri"/>
          <w:b w:val="0"/>
          <w:i w:val="0"/>
          <w:color w:val="000000"/>
          <w:sz w:val="20"/>
        </w:rPr>
        <w:t>Time: ______________________</w:t>
      </w:r>
    </w:p>
    <w:p>
      <w:pPr>
        <w:jc w:val="both"/>
      </w:pPr>
      <w:r>
        <w:rPr>
          <w:rFonts w:ascii="Calibri" w:hAnsi="Calibri"/>
          <w:b w:val="0"/>
          <w:i w:val="0"/>
          <w:color w:val="000000"/>
          <w:sz w:val="20"/>
        </w:rPr>
        <w:t>Place: ______________________ / by video conference</w:t>
      </w:r>
    </w:p>
    <w:p>
      <w:pPr>
        <w:jc w:val="both"/>
      </w:pPr>
      <w:r>
        <w:rPr>
          <w:rFonts w:ascii="Calibri" w:hAnsi="Calibri"/>
          <w:b w:val="0"/>
          <w:i w:val="0"/>
          <w:color w:val="000000"/>
          <w:sz w:val="20"/>
        </w:rPr>
        <w:t>Status: DRAFT — hold and execute in Phase 2 only</w:t>
      </w:r>
    </w:p>
    <w:p>
      <w:pPr>
        <w:spacing w:before="240"/>
      </w:pPr>
      <w:r>
        <w:rPr>
          <w:rFonts w:ascii="Calibri" w:hAnsi="Calibri"/>
          <w:b/>
          <w:i w:val="0"/>
          <w:color w:val="C9A432"/>
          <w:sz w:val="24"/>
        </w:rPr>
        <w:t>1. Present</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Name</w:t>
            </w:r>
          </w:p>
        </w:tc>
        <w:tc>
          <w:tcPr>
            <w:tcW w:type="dxa" w:w="4703"/>
            <w:shd w:fill="1A365D" w:val="clear"/>
          </w:tcPr>
          <w:p>
            <w:r/>
            <w:r>
              <w:rPr>
                <w:rFonts w:ascii="Calibri" w:hAnsi="Calibri"/>
                <w:b/>
                <w:i w:val="0"/>
                <w:color w:val="FFFFFF"/>
                <w:sz w:val="18"/>
              </w:rPr>
              <w:t>Capacity</w:t>
            </w:r>
          </w:p>
        </w:tc>
      </w:tr>
      <w:tr>
        <w:tc>
          <w:tcPr>
            <w:tcW w:type="dxa" w:w="4703"/>
          </w:tcPr>
          <w:p>
            <w:r/>
            <w:r>
              <w:rPr>
                <w:rFonts w:ascii="Calibri" w:hAnsi="Calibri"/>
                <w:b w:val="0"/>
                <w:i w:val="0"/>
                <w:color w:val="000000"/>
                <w:sz w:val="18"/>
              </w:rPr>
              <w:t>Alexander Papacosta</w:t>
            </w:r>
          </w:p>
        </w:tc>
        <w:tc>
          <w:tcPr>
            <w:tcW w:type="dxa" w:w="4703"/>
          </w:tcPr>
          <w:p>
            <w:r/>
            <w:r>
              <w:rPr>
                <w:rFonts w:ascii="Calibri" w:hAnsi="Calibri"/>
                <w:b w:val="0"/>
                <w:i w:val="0"/>
                <w:color w:val="000000"/>
                <w:sz w:val="18"/>
              </w:rPr>
              <w:t>Director; Company Secretary</w:t>
            </w:r>
          </w:p>
        </w:tc>
      </w:tr>
      <w:tr>
        <w:tc>
          <w:tcPr>
            <w:tcW w:type="dxa" w:w="4703"/>
          </w:tcPr>
          <w:p>
            <w:r/>
            <w:r>
              <w:rPr>
                <w:rFonts w:ascii="Calibri" w:hAnsi="Calibri"/>
                <w:b w:val="0"/>
                <w:i w:val="0"/>
                <w:color w:val="000000"/>
                <w:sz w:val="18"/>
              </w:rPr>
              <w:t>Dr. Arkadiusz Sybaris</w:t>
            </w:r>
          </w:p>
        </w:tc>
        <w:tc>
          <w:tcPr>
            <w:tcW w:type="dxa" w:w="4703"/>
          </w:tcPr>
          <w:p>
            <w:r/>
            <w:r>
              <w:rPr>
                <w:rFonts w:ascii="Calibri" w:hAnsi="Calibri"/>
                <w:b w:val="0"/>
                <w:i w:val="0"/>
                <w:color w:val="000000"/>
                <w:sz w:val="18"/>
              </w:rPr>
              <w:t>Representing Lighthief International Ltd (corporate director); UBO of Lighthief International Ltd</w:t>
            </w:r>
          </w:p>
        </w:tc>
      </w:tr>
    </w:tbl>
    <w:p/>
    <w:p>
      <w:pPr>
        <w:spacing w:before="240"/>
      </w:pPr>
      <w:r>
        <w:rPr>
          <w:rFonts w:ascii="Calibri" w:hAnsi="Calibri"/>
          <w:b/>
          <w:i w:val="0"/>
          <w:color w:val="C9A432"/>
          <w:sz w:val="24"/>
        </w:rPr>
        <w:t>2. Quorum and chair</w:t>
      </w:r>
    </w:p>
    <w:p>
      <w:pPr>
        <w:jc w:val="both"/>
      </w:pPr>
      <w:r>
        <w:rPr>
          <w:rFonts w:ascii="Calibri" w:hAnsi="Calibri"/>
          <w:b w:val="0"/>
          <w:i w:val="0"/>
          <w:color w:val="000000"/>
          <w:sz w:val="20"/>
        </w:rPr>
        <w:t>2.1 Quorum present. Dr. Arkadiusz Sybaris chaired the meeting.</w:t>
      </w:r>
    </w:p>
    <w:p>
      <w:pPr>
        <w:spacing w:before="240"/>
      </w:pPr>
      <w:r>
        <w:rPr>
          <w:rFonts w:ascii="Calibri" w:hAnsi="Calibri"/>
          <w:b/>
          <w:i w:val="0"/>
          <w:color w:val="C9A432"/>
          <w:sz w:val="24"/>
        </w:rPr>
        <w:t>3. Declaration of interest</w:t>
      </w:r>
    </w:p>
    <w:p>
      <w:pPr>
        <w:jc w:val="both"/>
      </w:pPr>
      <w:r>
        <w:rPr>
          <w:rFonts w:ascii="Calibri" w:hAnsi="Calibri"/>
          <w:b w:val="0"/>
          <w:i w:val="0"/>
          <w:color w:val="000000"/>
          <w:sz w:val="20"/>
        </w:rPr>
        <w:t>3.1 Alexander Papacosta declared his personal interest as MD under the MD Equity Participation Side Letter (LCY-MD-EQ-2026-001), including EPC milestone equity (10% + 10%), Share Sale Participation Fee, and 15% investor-path equity cap.</w:t>
      </w:r>
    </w:p>
    <w:p>
      <w:pPr>
        <w:jc w:val="both"/>
      </w:pPr>
      <w:r>
        <w:rPr>
          <w:rFonts w:ascii="Calibri" w:hAnsi="Calibri"/>
          <w:b w:val="0"/>
          <w:i w:val="0"/>
          <w:color w:val="000000"/>
          <w:sz w:val="20"/>
        </w:rPr>
        <w:t>3.2 The Chair noted that the Founder (Dr. Sybaris) would also sign the side letter in a separate capacity and that Third Party Investor disclosure is required before each Qualifying Equity Closing.</w:t>
      </w:r>
    </w:p>
    <w:p>
      <w:pPr>
        <w:spacing w:before="240"/>
      </w:pPr>
      <w:r>
        <w:rPr>
          <w:rFonts w:ascii="Calibri" w:hAnsi="Calibri"/>
          <w:b/>
          <w:i w:val="0"/>
          <w:color w:val="C9A432"/>
          <w:sz w:val="24"/>
        </w:rPr>
        <w:t>4. MD Equity Participation Side Letter</w:t>
      </w:r>
    </w:p>
    <w:p>
      <w:pPr>
        <w:jc w:val="both"/>
      </w:pPr>
      <w:r>
        <w:rPr>
          <w:rFonts w:ascii="Calibri" w:hAnsi="Calibri"/>
          <w:b w:val="0"/>
          <w:i w:val="0"/>
          <w:color w:val="000000"/>
          <w:sz w:val="20"/>
        </w:rPr>
        <w:t>4.1 The Board received the side letter (ref LCY-MD-EQ-2026-001) between the Founder, the Company, and Alexander Papacosta.</w:t>
      </w:r>
    </w:p>
    <w:p>
      <w:pPr>
        <w:jc w:val="both"/>
      </w:pPr>
      <w:r>
        <w:rPr>
          <w:rFonts w:ascii="Calibri" w:hAnsi="Calibri"/>
          <w:b w:val="0"/>
          <w:i w:val="0"/>
          <w:color w:val="000000"/>
          <w:sz w:val="20"/>
        </w:rPr>
        <w:t>4.2 Alexander Papacosta withdrew for deliberation and voting on this item.</w:t>
      </w:r>
    </w:p>
    <w:p>
      <w:pPr>
        <w:jc w:val="both"/>
      </w:pPr>
      <w:r>
        <w:rPr>
          <w:rFonts w:ascii="Calibri" w:hAnsi="Calibri"/>
          <w:b w:val="0"/>
          <w:i w:val="0"/>
          <w:color w:val="000000"/>
          <w:sz w:val="20"/>
        </w:rPr>
        <w:t>4.3 The Chair noted: (a) fees on investor subscription cash are separate from Moi Ostrov margin fees; (b) preferred payor is Founder personally, not Company working capital; (c) investor disclosure under NDA before each closing.</w:t>
      </w:r>
    </w:p>
    <w:p>
      <w:pPr>
        <w:jc w:val="both"/>
      </w:pPr>
      <w:r>
        <w:rPr>
          <w:rFonts w:ascii="Calibri" w:hAnsi="Calibri"/>
          <w:b w:val="0"/>
          <w:i w:val="0"/>
          <w:color w:val="000000"/>
          <w:sz w:val="20"/>
        </w:rPr>
        <w:t>4.4 RESOLVED that:</w:t>
      </w:r>
    </w:p>
    <w:p>
      <w:pPr>
        <w:jc w:val="both"/>
      </w:pPr>
      <w:r>
        <w:rPr>
          <w:rFonts w:ascii="Calibri" w:hAnsi="Calibri"/>
          <w:b w:val="0"/>
          <w:i w:val="0"/>
          <w:color w:val="000000"/>
          <w:sz w:val="20"/>
        </w:rPr>
        <w:t>(a) subject to any shareholder resolution counsel requires, the Company acknowledge the side letter;</w:t>
      </w:r>
    </w:p>
    <w:p>
      <w:pPr>
        <w:jc w:val="both"/>
      </w:pPr>
      <w:r>
        <w:rPr>
          <w:rFonts w:ascii="Calibri" w:hAnsi="Calibri"/>
          <w:b w:val="0"/>
          <w:i w:val="0"/>
          <w:color w:val="000000"/>
          <w:sz w:val="20"/>
        </w:rPr>
        <w:t>(b) Alexander Papacosta be authorised to execute the side letter on behalf of the Company and in his personal capacity as MD, only after Dr. Sybaris has signed as Founder;</w:t>
      </w:r>
    </w:p>
    <w:p>
      <w:pPr>
        <w:jc w:val="both"/>
      </w:pPr>
      <w:r>
        <w:rPr>
          <w:rFonts w:ascii="Calibri" w:hAnsi="Calibri"/>
          <w:b w:val="0"/>
          <w:i w:val="0"/>
          <w:color w:val="000000"/>
          <w:sz w:val="20"/>
        </w:rPr>
        <w:t>(c) no Qualifying Equity Closing proceed without executed side letter and investor disclosure per side letter §5.3.</w:t>
      </w:r>
    </w:p>
    <w:p>
      <w:pPr>
        <w:jc w:val="both"/>
      </w:pPr>
      <w:r>
        <w:rPr>
          <w:rFonts w:ascii="Calibri" w:hAnsi="Calibri"/>
          <w:b w:val="0"/>
          <w:i w:val="0"/>
          <w:color w:val="000000"/>
          <w:sz w:val="20"/>
        </w:rPr>
        <w:t>4.5 Alexander Papacosta returned to the meeting.</w:t>
      </w:r>
    </w:p>
    <w:p>
      <w:pPr>
        <w:spacing w:before="240"/>
      </w:pPr>
      <w:r>
        <w:rPr>
          <w:rFonts w:ascii="Calibri" w:hAnsi="Calibri"/>
          <w:b/>
          <w:i w:val="0"/>
          <w:color w:val="C9A432"/>
          <w:sz w:val="24"/>
        </w:rPr>
        <w:t>5. Galascope EPC (if on same agenda)</w:t>
      </w:r>
    </w:p>
    <w:p>
      <w:pPr>
        <w:jc w:val="both"/>
      </w:pPr>
      <w:r>
        <w:rPr>
          <w:rFonts w:ascii="Calibri" w:hAnsi="Calibri"/>
          <w:b w:val="0"/>
          <w:i w:val="0"/>
          <w:color w:val="000000"/>
          <w:sz w:val="20"/>
        </w:rPr>
        <w:t>5.1 *(Optional — use when EPC ready for board approval.)</w:t>
      </w:r>
    </w:p>
    <w:p>
      <w:pPr>
        <w:jc w:val="both"/>
      </w:pPr>
      <w:r>
        <w:rPr>
          <w:rFonts w:ascii="Calibri" w:hAnsi="Calibri"/>
          <w:b w:val="0"/>
          <w:i w:val="0"/>
          <w:color w:val="000000"/>
          <w:sz w:val="20"/>
        </w:rPr>
        <w:t>The Board reviewed the Galascope Ltd BESS EPC contract (LCY-EPC-GAL-B1-2026 or successor).</w:t>
      </w:r>
    </w:p>
    <w:p>
      <w:pPr>
        <w:jc w:val="both"/>
      </w:pPr>
      <w:r>
        <w:rPr>
          <w:rFonts w:ascii="Calibri" w:hAnsi="Calibri"/>
          <w:b w:val="0"/>
          <w:i w:val="0"/>
          <w:color w:val="000000"/>
          <w:sz w:val="20"/>
        </w:rPr>
        <w:t>RESOLVED that Alexander Papacosta be authorised to execute the EPC contract on behalf of the Company, subject to counsel review and funding confirmation.</w:t>
      </w:r>
    </w:p>
    <w:p>
      <w:pPr>
        <w:spacing w:before="240"/>
      </w:pPr>
      <w:r>
        <w:rPr>
          <w:rFonts w:ascii="Calibri" w:hAnsi="Calibri"/>
          <w:b/>
          <w:i w:val="0"/>
          <w:color w:val="C9A432"/>
          <w:sz w:val="24"/>
        </w:rPr>
        <w:t>6. Close and signatures</w:t>
      </w:r>
    </w:p>
    <w:p>
      <w:pPr>
        <w:jc w:val="both"/>
      </w:pPr>
      <w:r>
        <w:rPr>
          <w:rFonts w:ascii="Calibri" w:hAnsi="Calibri"/>
          <w:b w:val="0"/>
          <w:i w:val="0"/>
          <w:color w:val="000000"/>
          <w:sz w:val="20"/>
        </w:rPr>
        <w:t>6.1 There being no further business, the meeting closed at ______________________.</w:t>
      </w:r>
    </w:p>
    <w:p>
      <w:pPr>
        <w:jc w:val="both"/>
      </w:pPr>
      <w:r>
        <w:rPr>
          <w:rFonts w:ascii="Calibri" w:hAnsi="Calibri"/>
          <w:b w:val="0"/>
          <w:i w:val="0"/>
          <w:color w:val="000000"/>
          <w:sz w:val="20"/>
        </w:rPr>
        <w:t>| Chair | ______________________________ Dr. Arkadiusz Sybaris |</w:t>
      </w:r>
    </w:p>
    <w:p>
      <w:pPr>
        <w:jc w:val="both"/>
      </w:pPr>
      <w:r>
        <w:rPr>
          <w:rFonts w:ascii="Calibri" w:hAnsi="Calibri"/>
          <w:b w:val="0"/>
          <w:i w:val="0"/>
          <w:color w:val="000000"/>
          <w:sz w:val="20"/>
        </w:rPr>
        <w:t>| Secretary | ______________________________ Alexander Papacosta (certifies minutes) |</w:t>
      </w:r>
    </w:p>
    <w:p>
      <w:pPr>
        <w:jc w:val="both"/>
      </w:pPr>
      <w:r>
        <w:rPr>
          <w:rFonts w:ascii="Calibri" w:hAnsi="Calibri"/>
          <w:b w:val="0"/>
          <w:i w:val="0"/>
          <w:color w:val="000000"/>
          <w:sz w:val="20"/>
        </w:rPr>
        <w:t>| Date | ______________________ |</w:t>
      </w:r>
    </w:p>
    <w:p>
      <w:pPr>
        <w:jc w:val="both"/>
      </w:pPr>
      <w:r>
        <w:rPr>
          <w:rFonts w:ascii="Calibri" w:hAnsi="Calibri"/>
          <w:b w:val="0"/>
          <w:i w:val="0"/>
          <w:color w:val="000000"/>
          <w:sz w:val="20"/>
        </w:rPr>
        <w:t>End of minutes — Phase 2. Execute before first investor tranche.</w:t>
      </w:r>
    </w:p>
    <w:sectPr w:rsidR="00FC693F" w:rsidRPr="0006063C" w:rsidSect="00034616">
      <w:footerReference w:type="default" r:id="rId27"/>
      <w:pgSz w:w="12240" w:h="15840"/>
      <w:pgMar w:top="1134" w:right="1417" w:bottom="124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Lighthief Cyprus Ltd · HE 477423 · solarfarms.cy · DRAFT v8 — May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Executive Summary  |  Page </w:t>
    </w:r>
    <w:r>
      <w:fldChar w:fldCharType="begin"/>
      <w:instrText xml:space="preserve"> PAGE </w:instrText>
      <w:fldChar w:fldCharType="separate"/>
    </w:r>
    <w:fldChar w:fldCharType="end"/>
    <w:r>
      <w:t>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 · LCY-MOI-TOCA-2026-001 · Main Agreement  |  Page </w:t>
    </w:r>
    <w:r>
      <w:fldChar w:fldCharType="begin"/>
      <w:instrText xml:space="preserve"> PAGE </w:instrText>
      <w:fldChar w:fldCharType="separate"/>
    </w:r>
    <w:fldChar w:fldCharType="end"/>
    <w:r>
      <w:t>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2 · LCY-MOI-TOCA-2026-001 · Schedule 1  |  Page </w:t>
    </w:r>
    <w:r>
      <w:fldChar w:fldCharType="begin"/>
      <w:instrText xml:space="preserve"> PAGE </w:instrText>
      <w:fldChar w:fldCharType="separate"/>
    </w:r>
    <w:fldChar w:fldCharType="end"/>
    <w:r>
      <w:t>1</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3 · LCY-MOI-TOCA-2026-001 · Schedule 2  |  Page </w:t>
    </w:r>
    <w:r>
      <w:fldChar w:fldCharType="begin"/>
      <w:instrText xml:space="preserve"> PAGE </w:instrText>
      <w:fldChar w:fldCharType="separate"/>
    </w:r>
    <w:fldChar w:fldCharType="end"/>
    <w:r>
      <w:t>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4 · LCY-MOI-TOCA-2026-001 · Schedule 3  |  Page </w:t>
    </w:r>
    <w:r>
      <w:fldChar w:fldCharType="begin"/>
      <w:instrText xml:space="preserve"> PAGE </w:instrText>
      <w:fldChar w:fldCharType="separate"/>
    </w:r>
    <w:fldChar w:fldCharType="end"/>
    <w:r>
      <w:t>1</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5 · LCY-MOI-TOCA-2026-001 · Execution  |  Page </w:t>
    </w:r>
    <w:r>
      <w:fldChar w:fldCharType="begin"/>
      <w:instrText xml:space="preserve"> PAGE </w:instrText>
      <w:fldChar w:fldCharType="separate"/>
    </w:r>
    <w:fldChar w:fldCharType="end"/>
    <w:r>
      <w:t>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6 · LCY-MOI-TOCA-2026-001 · Annex A  |  Page </w:t>
    </w:r>
    <w:r>
      <w:fldChar w:fldCharType="begin"/>
      <w:instrText xml:space="preserve"> PAGE </w:instrText>
      <w:fldChar w:fldCharType="separate"/>
    </w:r>
    <w:fldChar w:fldCharType="end"/>
    <w:r>
      <w:t>1</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7 · LCY-MOI-TOCA-2026-001 · Annex B  |  Page </w:t>
    </w:r>
    <w:r>
      <w:fldChar w:fldCharType="begin"/>
      <w:instrText xml:space="preserve"> PAGE </w:instrText>
      <w:fldChar w:fldCharType="separate"/>
    </w:r>
    <w:fldChar w:fldCharType="end"/>
    <w:r>
      <w:t>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8 · LCY-EMP-AP-2026-001 · MD Employment Agreement  |  Page </w:t>
    </w:r>
    <w:r>
      <w:fldChar w:fldCharType="begin"/>
      <w:instrText xml:space="preserve"> PAGE </w:instrText>
      <w:fldChar w:fldCharType="separate"/>
    </w:r>
    <w:fldChar w:fldCharType="end"/>
    <w:r>
      <w:t>1</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9 · LCY-SHR-EMP-2026-001 · Shareholder Resolution (MD Employment)  |  Page </w:t>
    </w:r>
    <w:r>
      <w:fldChar w:fldCharType="begin"/>
      <w:instrText xml:space="preserve"> PAGE </w:instrText>
      <w:fldChar w:fldCharType="separate"/>
    </w:r>
    <w:fldChar w:fldCharType="end"/>
    <w:r>
      <w:t>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10 · LCY-MD-EQ-2026-001 · Equity Participation Side Letter  |  Page </w:t>
    </w:r>
    <w:r>
      <w:fldChar w:fldCharType="begin"/>
      <w:instrText xml:space="preserve"> PAGE </w:instrText>
      <w:fldChar w:fldCharType="separate"/>
    </w:r>
    <w:fldChar w:fldCharType="end"/>
    <w:r>
      <w:t>1</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11 · LCY-OPT-A-2026-001 · Founder Runway &amp; MD Economics  |  Page </w:t>
    </w:r>
    <w:r>
      <w:fldChar w:fldCharType="begin"/>
      <w:instrText xml:space="preserve"> PAGE </w:instrText>
      <w:fldChar w:fldCharType="separate"/>
    </w:r>
    <w:fldChar w:fldCharType="end"/>
    <w:r>
      <w:t>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12 · LCY-MOI-ADH-2026-001 · Deed of Group Adherence  |  Page </w:t>
    </w:r>
    <w:r>
      <w:fldChar w:fldCharType="begin"/>
      <w:instrText xml:space="preserve"> PAGE </w:instrText>
      <w:fldChar w:fldCharType="separate"/>
    </w:r>
    <w:fldChar w:fldCharType="end"/>
    <w:r>
      <w:t>1</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13 · LCY-DIR-IND-2026-001 · Director &amp; Officer Protections  |  Page </w:t>
    </w:r>
    <w:r>
      <w:fldChar w:fldCharType="begin"/>
      <w:instrText xml:space="preserve"> PAGE </w:instrText>
      <w:fldChar w:fldCharType="separate"/>
    </w:r>
    <w:fldChar w:fldCharType="end"/>
    <w:r>
      <w:t>1</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14 · LCY-SHR-DO-2026-001 · Shareholder Resolution (D&amp;O)  |  Page </w:t>
    </w:r>
    <w:r>
      <w:fldChar w:fldCharType="begin"/>
      <w:instrText xml:space="preserve"> PAGE </w:instrText>
      <w:fldChar w:fldCharType="separate"/>
    </w:r>
    <w:fldChar w:fldCharType="end"/>
    <w:r>
      <w:t>1</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15 · LCY-GOV-SIGN-2026-001 · Signing Matrix &amp; Governance  |  Page </w:t>
    </w:r>
    <w:r>
      <w:fldChar w:fldCharType="begin"/>
      <w:instrText xml:space="preserve"> PAGE </w:instrText>
      <w:fldChar w:fldCharType="separate"/>
    </w:r>
    <w:fldChar w:fldCharType="end"/>
    <w:r>
      <w:t>1</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16 · LCY-BRD-2026-001 · Board Minutes (Phase 1)  |  Page </w:t>
    </w:r>
    <w:r>
      <w:fldChar w:fldCharType="begin"/>
      <w:instrText xml:space="preserve"> PAGE </w:instrText>
      <w:fldChar w:fldCharType="separate"/>
    </w:r>
    <w:fldChar w:fldCharType="end"/>
    <w:r>
      <w:t>1</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17 · LCY-BRD-2026-002 · Board Minutes (Phase 2)  |  Page </w:t>
    </w:r>
    <w:r>
      <w:fldChar w:fldCharType="begin"/>
      <w:instrText xml:space="preserve"> PAGE </w:instrText>
      <w:fldChar w:fldCharType="separate"/>
    </w:r>
    <w:fldChar w:fldCharType="end"/>
    <w: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