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4703"/>
        <w:gridCol w:w="4703"/>
      </w:tblGrid>
      <w:tr>
        <w:tc>
          <w:tcPr>
            <w:tcW w:type="dxa" w:w="1584"/>
            <w:shd w:val="clear" w:color="auto" w:fill="1A365D"/>
          </w:tcPr>
          <w:p>
            <w:pPr>
              <w:jc w:val="center"/>
              <w:spacing w:before="60" w:after="60"/>
            </w:pPr>
            <w:r>
              <w:drawing>
                <wp:inline xmlns:a="http://schemas.openxmlformats.org/drawingml/2006/main" xmlns:pic="http://schemas.openxmlformats.org/drawingml/2006/picture">
                  <wp:extent cx="685800" cy="685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85800" cy="685800"/>
                          </a:xfrm>
                          <a:prstGeom prst="rect"/>
                        </pic:spPr>
                      </pic:pic>
                    </a:graphicData>
                  </a:graphic>
                </wp:inline>
              </w:drawing>
            </w:r>
          </w:p>
        </w:tc>
        <w:tc>
          <w:tcPr>
            <w:tcW w:type="dxa" w:w="7776"/>
            <w:shd w:val="clear" w:color="auto" w:fill="1A365D"/>
          </w:tcPr>
          <w:p>
            <w:pPr>
              <w:spacing w:before="40" w:after="0"/>
            </w:pPr>
            <w:r>
              <w:rPr>
                <w:b/>
                <w:color w:val="C9A432"/>
                <w:sz w:val="32"/>
              </w:rPr>
              <w:t>LIGHTHIEF CYPRUS LTD</w:t>
            </w:r>
          </w:p>
          <w:p>
            <w:pPr>
              <w:spacing w:before="0" w:after="0"/>
            </w:pPr>
            <w:r>
              <w:rPr>
                <w:color w:val="FFFFFF"/>
                <w:sz w:val="20"/>
              </w:rPr>
              <w:t>Solar Photovoltaic System Installation Contract — Net Metering</w:t>
            </w:r>
          </w:p>
          <w:p>
            <w:pPr>
              <w:spacing w:before="0" w:after="60"/>
            </w:pPr>
            <w:r>
              <w:rPr>
                <w:color w:val="B0BED4"/>
                <w:sz w:val="17"/>
              </w:rPr>
              <w:t>Ref: LCY-PV-TMR-001  ·  Contract Date: 19 December 2025</w:t>
            </w:r>
          </w:p>
        </w:tc>
      </w:tr>
    </w:tbl>
    <w:p/>
    <w:p>
      <w:pPr>
        <w:pBdr>
          <w:bottom w:val="single" w:sz="6" w:color="1A365D"/>
        </w:pBdr>
        <w:spacing w:before="0" w:after="80"/>
      </w:pPr>
    </w:p>
    <w:p>
      <w:pPr>
        <w:pBdr>
          <w:bottom w:val="single" w:sz="6" w:color="1A365D"/>
        </w:pBdr>
        <w:spacing w:before="160" w:after="60"/>
      </w:pPr>
      <w:r>
        <w:rPr>
          <w:b/>
          <w:color w:val="C9A432"/>
          <w:sz w:val="26"/>
        </w:rPr>
        <w:t>PARTIES</w:t>
      </w:r>
    </w:p>
    <w:tbl>
      <w:tblPr>
        <w:tblStyle w:val="TableGrid"/>
        <w:tblW w:type="auto" w:w="0"/>
        <w:jc w:val="left"/>
        <w:tblLook w:firstColumn="1" w:firstRow="1" w:lastColumn="0" w:lastRow="0" w:noHBand="0" w:noVBand="1" w:val="04A0"/>
      </w:tblPr>
      <w:tblGrid>
        <w:gridCol w:w="4703"/>
        <w:gridCol w:w="4703"/>
      </w:tblGrid>
      <w:tr>
        <w:tc>
          <w:tcPr>
            <w:tcW w:type="dxa" w:w="4680"/>
            <w:shd w:val="clear" w:color="auto" w:fill="F0F4F8"/>
          </w:tcPr>
          <w:p>
            <w:pPr>
              <w:spacing w:before="40" w:after="20"/>
            </w:pPr>
            <w:r>
              <w:rPr>
                <w:b/>
                <w:color w:val="1A365D"/>
                <w:sz w:val="19"/>
              </w:rPr>
              <w:t>CONTRACTOR</w:t>
            </w:r>
          </w:p>
          <w:p>
            <w:pPr>
              <w:spacing w:before="0" w:after="20"/>
            </w:pPr>
            <w:r>
              <w:rPr>
                <w:b/>
                <w:color w:val="404040"/>
                <w:sz w:val="18"/>
              </w:rPr>
              <w:t xml:space="preserve">Company: </w:t>
            </w:r>
            <w:r>
              <w:rPr>
                <w:color w:val="000000"/>
                <w:sz w:val="18"/>
              </w:rPr>
              <w:t>LIGHTHIEF CYPRUS LTD</w:t>
            </w:r>
          </w:p>
          <w:p>
            <w:pPr>
              <w:spacing w:before="0" w:after="20"/>
            </w:pPr>
            <w:r>
              <w:rPr>
                <w:b/>
                <w:color w:val="404040"/>
                <w:sz w:val="18"/>
              </w:rPr>
              <w:t xml:space="preserve">Reg. No.: </w:t>
            </w:r>
            <w:r>
              <w:rPr>
                <w:color w:val="000000"/>
                <w:sz w:val="18"/>
              </w:rPr>
              <w:t>HE 477423</w:t>
            </w:r>
          </w:p>
          <w:p>
            <w:pPr>
              <w:spacing w:before="0" w:after="20"/>
            </w:pPr>
            <w:r>
              <w:rPr>
                <w:b/>
                <w:color w:val="404040"/>
                <w:sz w:val="18"/>
              </w:rPr>
              <w:t xml:space="preserve">TIN: </w:t>
            </w:r>
            <w:r>
              <w:rPr>
                <w:color w:val="000000"/>
                <w:sz w:val="18"/>
              </w:rPr>
              <w:t>60187188Q</w:t>
            </w:r>
          </w:p>
          <w:p>
            <w:pPr>
              <w:spacing w:before="0" w:after="20"/>
            </w:pPr>
            <w:r>
              <w:rPr>
                <w:b/>
                <w:color w:val="404040"/>
                <w:sz w:val="18"/>
              </w:rPr>
              <w:t xml:space="preserve">Address: </w:t>
            </w:r>
            <w:r>
              <w:rPr>
                <w:color w:val="000000"/>
                <w:sz w:val="18"/>
              </w:rPr>
              <w:t>28 October Ave 249, Lophitis Business Center 1,</w:t>
              <w:br/>
              <w:t>Office 201, 3035 Limassol, Cyprus</w:t>
            </w:r>
          </w:p>
          <w:p>
            <w:pPr>
              <w:spacing w:before="0" w:after="20"/>
            </w:pPr>
            <w:r>
              <w:rPr>
                <w:b/>
                <w:color w:val="404040"/>
                <w:sz w:val="18"/>
              </w:rPr>
              <w:t xml:space="preserve">Email: </w:t>
            </w:r>
            <w:r>
              <w:rPr>
                <w:color w:val="000000"/>
                <w:sz w:val="18"/>
              </w:rPr>
              <w:t>office@lighthief.com</w:t>
            </w:r>
          </w:p>
          <w:p>
            <w:pPr>
              <w:spacing w:before="0" w:after="20"/>
            </w:pPr>
            <w:r>
              <w:rPr>
                <w:b/>
                <w:color w:val="404040"/>
                <w:sz w:val="18"/>
              </w:rPr>
              <w:t xml:space="preserve">Tel: </w:t>
            </w:r>
            <w:r>
              <w:rPr>
                <w:color w:val="000000"/>
                <w:sz w:val="18"/>
              </w:rPr>
              <w:t>+357 77 77 00 50</w:t>
            </w:r>
          </w:p>
          <w:p>
            <w:pPr>
              <w:spacing w:before="0" w:after="20"/>
            </w:pPr>
            <w:r>
              <w:rPr>
                <w:b/>
                <w:color w:val="404040"/>
                <w:sz w:val="18"/>
              </w:rPr>
              <w:t xml:space="preserve">Representative: </w:t>
            </w:r>
            <w:r>
              <w:rPr>
                <w:color w:val="000000"/>
                <w:sz w:val="18"/>
              </w:rPr>
              <w:t>Alexander Papacosta, Business Development Manager</w:t>
            </w:r>
          </w:p>
        </w:tc>
        <w:tc>
          <w:tcPr>
            <w:tcW w:type="dxa" w:w="4680"/>
            <w:shd w:val="clear" w:color="auto" w:fill="FAFBFC"/>
          </w:tcPr>
          <w:p>
            <w:pPr>
              <w:spacing w:before="40" w:after="20"/>
            </w:pPr>
            <w:r>
              <w:rPr>
                <w:b/>
                <w:color w:val="1A365D"/>
                <w:sz w:val="19"/>
              </w:rPr>
              <w:t>CLIENT</w:t>
            </w:r>
          </w:p>
          <w:p>
            <w:pPr>
              <w:spacing w:before="0" w:after="20"/>
            </w:pPr>
            <w:r>
              <w:rPr>
                <w:b/>
                <w:color w:val="404040"/>
                <w:sz w:val="18"/>
              </w:rPr>
              <w:t xml:space="preserve">Full Name: </w:t>
            </w:r>
            <w:r>
              <w:rPr>
                <w:color w:val="000000"/>
                <w:sz w:val="18"/>
              </w:rPr>
              <w:t>Tamara Morozova</w:t>
            </w:r>
          </w:p>
          <w:p>
            <w:pPr>
              <w:spacing w:before="0" w:after="20"/>
            </w:pPr>
            <w:r>
              <w:rPr>
                <w:b/>
                <w:color w:val="404040"/>
                <w:sz w:val="18"/>
              </w:rPr>
              <w:t xml:space="preserve">Address: </w:t>
            </w:r>
            <w:r>
              <w:rPr>
                <w:color w:val="000000"/>
                <w:sz w:val="18"/>
              </w:rPr>
              <w:t>Lombardi Gardens Villas, Flat 3, 531A,</w:t>
              <w:br/>
              <w:t>Protara Cavo Greco, Cyprus</w:t>
            </w:r>
          </w:p>
          <w:p>
            <w:pPr>
              <w:spacing w:before="0" w:after="20"/>
            </w:pPr>
            <w:r>
              <w:rPr>
                <w:b/>
                <w:color w:val="404040"/>
                <w:sz w:val="18"/>
              </w:rPr>
              <w:t xml:space="preserve">Tel: </w:t>
            </w:r>
            <w:r>
              <w:rPr>
                <w:color w:val="000000"/>
                <w:sz w:val="18"/>
              </w:rPr>
              <w:t>+357 99933225</w:t>
            </w:r>
          </w:p>
          <w:p>
            <w:pPr>
              <w:spacing w:before="0" w:after="20"/>
            </w:pPr>
            <w:r>
              <w:rPr>
                <w:b/>
                <w:color w:val="404040"/>
                <w:sz w:val="18"/>
              </w:rPr>
              <w:t xml:space="preserve">EAC Customer No.: </w:t>
            </w:r>
            <w:r>
              <w:rPr>
                <w:color w:val="000000"/>
                <w:sz w:val="18"/>
              </w:rPr>
              <w:t>3959063626</w:t>
            </w:r>
          </w:p>
          <w:p>
            <w:pPr>
              <w:spacing w:before="0" w:after="20"/>
            </w:pPr>
            <w:r>
              <w:rPr>
                <w:b/>
                <w:color w:val="404040"/>
                <w:sz w:val="18"/>
              </w:rPr>
              <w:t xml:space="preserve">Representative: </w:t>
            </w:r>
            <w:r>
              <w:rPr>
                <w:color w:val="000000"/>
                <w:sz w:val="18"/>
              </w:rPr>
              <w:t>Tamara Morozova</w:t>
            </w:r>
          </w:p>
        </w:tc>
      </w:tr>
    </w:tbl>
    <w:p/>
    <w:p>
      <w:pPr>
        <w:spacing w:before="0" w:after="80"/>
      </w:pPr>
      <w:r>
        <w:rPr>
          <w:i/>
          <w:color w:val="404040"/>
          <w:sz w:val="19"/>
        </w:rPr>
        <w:t>Contractor and Client are referred to individually as a "Party" and collectively as the "Parties." This Contract is governed by the laws of the Republic of Cyprus.</w:t>
      </w:r>
    </w:p>
    <w:p>
      <w:pPr>
        <w:pBdr>
          <w:bottom w:val="single" w:sz="6" w:color="1A365D"/>
        </w:pBdr>
        <w:spacing w:before="0" w:after="80"/>
      </w:pPr>
    </w:p>
    <w:p>
      <w:pPr>
        <w:pBdr>
          <w:bottom w:val="single" w:sz="6" w:color="1A365D"/>
        </w:pBdr>
        <w:spacing w:before="160" w:after="60"/>
      </w:pPr>
      <w:r>
        <w:rPr>
          <w:b/>
          <w:color w:val="C9A432"/>
          <w:sz w:val="26"/>
        </w:rPr>
        <w:t>1.  SCOPE OF WORK</w:t>
      </w:r>
    </w:p>
    <w:p>
      <w:pPr>
        <w:spacing w:before="100" w:after="40"/>
      </w:pPr>
      <w:r>
        <w:rPr>
          <w:b/>
          <w:color w:val="1A365D"/>
          <w:sz w:val="21"/>
        </w:rPr>
        <w:t>1.1  System Specifications</w:t>
      </w:r>
    </w:p>
    <w:p>
      <w:pPr>
        <w:ind w:left="0"/>
        <w:spacing w:before="0" w:after="50"/>
      </w:pPr>
      <w:r>
        <w:rPr>
          <w:color w:val="000000"/>
          <w:sz w:val="20"/>
        </w:rPr>
        <w:t>The Contractor shall supply, deliver, install, and commission a grid-connected photovoltaic system (the "System") at the premises specified below. The scope includes all labour, materials, cabling, protection devices, programming, single-line diagram, and EAC Net Metering application pack.</w:t>
      </w:r>
    </w:p>
    <w:tbl>
      <w:tblPr>
        <w:tblStyle w:val="TableGrid"/>
        <w:tblW w:type="auto" w:w="0"/>
        <w:tblLook w:firstColumn="1" w:firstRow="1" w:lastColumn="0" w:lastRow="0" w:noHBand="0" w:noVBand="1" w:val="04A0"/>
      </w:tblPr>
      <w:tblGrid>
        <w:gridCol w:w="4703"/>
        <w:gridCol w:w="4703"/>
      </w:tblGrid>
      <w:tr>
        <w:tc>
          <w:tcPr>
            <w:tcW w:type="dxa" w:w="3168"/>
            <w:shd w:val="clear" w:color="auto" w:fill="1A365D"/>
          </w:tcPr>
          <w:p>
            <w:pPr>
              <w:spacing w:before="40" w:after="40"/>
            </w:pPr>
            <w:r>
              <w:rPr>
                <w:b/>
                <w:color w:val="FFFFFF"/>
                <w:sz w:val="19"/>
              </w:rPr>
              <w:t>Parameter</w:t>
            </w:r>
          </w:p>
        </w:tc>
        <w:tc>
          <w:tcPr>
            <w:tcW w:type="dxa" w:w="6192"/>
            <w:shd w:val="clear" w:color="auto" w:fill="1A365D"/>
          </w:tcPr>
          <w:p>
            <w:pPr>
              <w:spacing w:before="40" w:after="40"/>
            </w:pPr>
            <w:r>
              <w:rPr>
                <w:b/>
                <w:color w:val="FFFFFF"/>
                <w:sz w:val="19"/>
              </w:rPr>
              <w:t>Specification</w:t>
            </w:r>
          </w:p>
        </w:tc>
      </w:tr>
      <w:tr>
        <w:tc>
          <w:tcPr>
            <w:tcW w:type="dxa" w:w="3168"/>
            <w:shd w:val="clear" w:color="auto" w:fill="F5F7FA"/>
          </w:tcPr>
          <w:p>
            <w:pPr>
              <w:spacing w:before="40" w:after="40"/>
            </w:pPr>
            <w:r>
              <w:rPr>
                <w:b/>
                <w:color w:val="1A365D"/>
                <w:sz w:val="19"/>
              </w:rPr>
              <w:t>Installation Address</w:t>
            </w:r>
          </w:p>
        </w:tc>
        <w:tc>
          <w:tcPr>
            <w:tcW w:type="dxa" w:w="6192"/>
          </w:tcPr>
          <w:p>
            <w:pPr>
              <w:spacing w:before="40" w:after="40"/>
            </w:pPr>
            <w:r>
              <w:rPr>
                <w:color w:val="000000"/>
                <w:sz w:val="19"/>
              </w:rPr>
              <w:t>Protara, Kavo Greco, 531, Cyprus</w:t>
            </w:r>
          </w:p>
        </w:tc>
      </w:tr>
      <w:tr>
        <w:tc>
          <w:tcPr>
            <w:tcW w:type="dxa" w:w="3168"/>
            <w:shd w:val="clear" w:color="auto" w:fill="F5F7FA"/>
          </w:tcPr>
          <w:p>
            <w:pPr>
              <w:spacing w:before="40" w:after="40"/>
            </w:pPr>
            <w:r>
              <w:rPr>
                <w:b/>
                <w:color w:val="1A365D"/>
                <w:sz w:val="19"/>
              </w:rPr>
              <w:t>Solar Panels</w:t>
            </w:r>
          </w:p>
        </w:tc>
        <w:tc>
          <w:tcPr>
            <w:tcW w:type="dxa" w:w="6192"/>
          </w:tcPr>
          <w:p>
            <w:pPr>
              <w:spacing w:before="40" w:after="40"/>
            </w:pPr>
            <w:r>
              <w:rPr>
                <w:color w:val="000000"/>
                <w:sz w:val="19"/>
              </w:rPr>
              <w:t>16 × JinkoSolar Tiger Neo N-Type 590W</w:t>
            </w:r>
          </w:p>
        </w:tc>
      </w:tr>
      <w:tr>
        <w:tc>
          <w:tcPr>
            <w:tcW w:type="dxa" w:w="3168"/>
            <w:shd w:val="clear" w:color="auto" w:fill="F5F7FA"/>
          </w:tcPr>
          <w:p>
            <w:pPr>
              <w:spacing w:before="40" w:after="40"/>
            </w:pPr>
            <w:r>
              <w:rPr>
                <w:b/>
                <w:color w:val="1A365D"/>
                <w:sz w:val="19"/>
              </w:rPr>
              <w:t>Total PV Capacity</w:t>
            </w:r>
          </w:p>
        </w:tc>
        <w:tc>
          <w:tcPr>
            <w:tcW w:type="dxa" w:w="6192"/>
          </w:tcPr>
          <w:p>
            <w:pPr>
              <w:spacing w:before="40" w:after="40"/>
            </w:pPr>
            <w:r>
              <w:rPr>
                <w:color w:val="000000"/>
                <w:sz w:val="19"/>
              </w:rPr>
              <w:t>9.44 kWp</w:t>
            </w:r>
          </w:p>
        </w:tc>
      </w:tr>
      <w:tr>
        <w:tc>
          <w:tcPr>
            <w:tcW w:type="dxa" w:w="3168"/>
            <w:shd w:val="clear" w:color="auto" w:fill="F5F7FA"/>
          </w:tcPr>
          <w:p>
            <w:pPr>
              <w:spacing w:before="40" w:after="40"/>
            </w:pPr>
            <w:r>
              <w:rPr>
                <w:b/>
                <w:color w:val="1A365D"/>
                <w:sz w:val="19"/>
              </w:rPr>
              <w:t>Inverter</w:t>
            </w:r>
          </w:p>
        </w:tc>
        <w:tc>
          <w:tcPr>
            <w:tcW w:type="dxa" w:w="6192"/>
          </w:tcPr>
          <w:p>
            <w:pPr>
              <w:spacing w:before="40" w:after="40"/>
            </w:pPr>
            <w:r>
              <w:rPr>
                <w:color w:val="000000"/>
                <w:sz w:val="19"/>
              </w:rPr>
              <w:t>1 × Huawei SUN2000-10KTL-M1 (10 kW)</w:t>
            </w:r>
          </w:p>
        </w:tc>
      </w:tr>
      <w:tr>
        <w:tc>
          <w:tcPr>
            <w:tcW w:type="dxa" w:w="3168"/>
            <w:shd w:val="clear" w:color="auto" w:fill="F5F7FA"/>
          </w:tcPr>
          <w:p>
            <w:pPr>
              <w:spacing w:before="40" w:after="40"/>
            </w:pPr>
            <w:r>
              <w:rPr>
                <w:b/>
                <w:color w:val="1A365D"/>
                <w:sz w:val="19"/>
              </w:rPr>
              <w:t>Battery Storage</w:t>
            </w:r>
          </w:p>
        </w:tc>
        <w:tc>
          <w:tcPr>
            <w:tcW w:type="dxa" w:w="6192"/>
          </w:tcPr>
          <w:p>
            <w:pPr>
              <w:spacing w:before="40" w:after="40"/>
            </w:pPr>
            <w:r>
              <w:rPr>
                <w:color w:val="000000"/>
                <w:sz w:val="19"/>
              </w:rPr>
              <w:t>Not applicable</w:t>
            </w:r>
          </w:p>
        </w:tc>
      </w:tr>
      <w:tr>
        <w:tc>
          <w:tcPr>
            <w:tcW w:type="dxa" w:w="3168"/>
            <w:shd w:val="clear" w:color="auto" w:fill="F5F7FA"/>
          </w:tcPr>
          <w:p>
            <w:pPr>
              <w:spacing w:before="40" w:after="40"/>
            </w:pPr>
            <w:r>
              <w:rPr>
                <w:b/>
                <w:color w:val="1A365D"/>
                <w:sz w:val="19"/>
              </w:rPr>
              <w:t>Mounting System</w:t>
            </w:r>
          </w:p>
        </w:tc>
        <w:tc>
          <w:tcPr>
            <w:tcW w:type="dxa" w:w="6192"/>
          </w:tcPr>
          <w:p>
            <w:pPr>
              <w:spacing w:before="40" w:after="40"/>
            </w:pPr>
            <w:r>
              <w:rPr>
                <w:color w:val="000000"/>
                <w:sz w:val="19"/>
              </w:rPr>
              <w:t>Flat roof</w:t>
            </w:r>
          </w:p>
        </w:tc>
      </w:tr>
      <w:tr>
        <w:tc>
          <w:tcPr>
            <w:tcW w:type="dxa" w:w="3168"/>
            <w:shd w:val="clear" w:color="auto" w:fill="F5F7FA"/>
          </w:tcPr>
          <w:p>
            <w:pPr>
              <w:spacing w:before="40" w:after="40"/>
            </w:pPr>
            <w:r>
              <w:rPr>
                <w:b/>
                <w:color w:val="1A365D"/>
                <w:sz w:val="19"/>
              </w:rPr>
              <w:t>Remote Monitoring</w:t>
            </w:r>
          </w:p>
        </w:tc>
        <w:tc>
          <w:tcPr>
            <w:tcW w:type="dxa" w:w="6192"/>
          </w:tcPr>
          <w:p>
            <w:pPr>
              <w:spacing w:before="40" w:after="40"/>
            </w:pPr>
            <w:r>
              <w:rPr>
                <w:color w:val="000000"/>
                <w:sz w:val="19"/>
              </w:rPr>
              <w:t>☑ Included — Huawei FusionSolar app</w:t>
            </w:r>
          </w:p>
        </w:tc>
      </w:tr>
      <w:tr>
        <w:tc>
          <w:tcPr>
            <w:tcW w:type="dxa" w:w="3168"/>
            <w:shd w:val="clear" w:color="auto" w:fill="F5F7FA"/>
          </w:tcPr>
          <w:p>
            <w:pPr>
              <w:spacing w:before="40" w:after="40"/>
            </w:pPr>
            <w:r>
              <w:rPr>
                <w:b/>
                <w:color w:val="1A365D"/>
                <w:sz w:val="19"/>
              </w:rPr>
              <w:t>Net Metering Application</w:t>
            </w:r>
          </w:p>
        </w:tc>
        <w:tc>
          <w:tcPr>
            <w:tcW w:type="dxa" w:w="6192"/>
          </w:tcPr>
          <w:p>
            <w:pPr>
              <w:spacing w:before="40" w:after="40"/>
            </w:pPr>
            <w:r>
              <w:rPr>
                <w:color w:val="000000"/>
                <w:sz w:val="19"/>
              </w:rPr>
              <w:t>☑ Included</w:t>
            </w:r>
          </w:p>
        </w:tc>
      </w:tr>
      <w:tr>
        <w:tc>
          <w:tcPr>
            <w:tcW w:type="dxa" w:w="3168"/>
            <w:shd w:val="clear" w:color="auto" w:fill="F5F7FA"/>
          </w:tcPr>
          <w:p>
            <w:pPr>
              <w:spacing w:before="40" w:after="40"/>
            </w:pPr>
            <w:r>
              <w:rPr>
                <w:b/>
                <w:color w:val="1A365D"/>
                <w:sz w:val="19"/>
              </w:rPr>
              <w:t>Estimated Annual Yield (indicative)</w:t>
            </w:r>
          </w:p>
        </w:tc>
        <w:tc>
          <w:tcPr>
            <w:tcW w:type="dxa" w:w="6192"/>
          </w:tcPr>
          <w:p>
            <w:pPr>
              <w:spacing w:before="40" w:after="40"/>
            </w:pPr>
            <w:r>
              <w:rPr>
                <w:color w:val="000000"/>
                <w:sz w:val="19"/>
              </w:rPr>
              <w:t>Approximately 14,500 kWh/year (indicative — see §1.4)</w:t>
            </w:r>
          </w:p>
        </w:tc>
      </w:tr>
    </w:tbl>
    <w:p/>
    <w:p>
      <w:pPr>
        <w:spacing w:before="100" w:after="40"/>
      </w:pPr>
      <w:r>
        <w:rPr>
          <w:b/>
          <w:color w:val="1A365D"/>
          <w:sz w:val="21"/>
        </w:rPr>
        <w:t>1.2  Services Included</w:t>
      </w:r>
    </w:p>
    <w:p>
      <w:pPr>
        <w:ind w:left="0"/>
        <w:spacing w:before="0" w:after="50"/>
      </w:pPr>
      <w:r>
        <w:rPr>
          <w:color w:val="000000"/>
          <w:sz w:val="20"/>
        </w:rPr>
        <w:t>The Contractor shall provide:</w:t>
      </w:r>
    </w:p>
    <w:p>
      <w:pPr>
        <w:pStyle w:val="ListBullet"/>
        <w:ind w:left="227"/>
        <w:spacing w:before="0" w:after="30"/>
      </w:pPr>
      <w:r>
        <w:rPr>
          <w:color w:val="000000"/>
          <w:sz w:val="20"/>
        </w:rPr>
        <w:t>Site assessment and system design;</w:t>
      </w:r>
    </w:p>
    <w:p>
      <w:pPr>
        <w:pStyle w:val="ListBullet"/>
        <w:ind w:left="227"/>
        <w:spacing w:before="0" w:after="30"/>
      </w:pPr>
      <w:r>
        <w:rPr>
          <w:color w:val="000000"/>
          <w:sz w:val="20"/>
        </w:rPr>
        <w:t>Submission of Net Metering application to EAC (Electricity Authority of Cyprus);</w:t>
      </w:r>
    </w:p>
    <w:p>
      <w:pPr>
        <w:pStyle w:val="ListBullet"/>
        <w:ind w:left="227"/>
        <w:spacing w:before="0" w:after="30"/>
      </w:pPr>
      <w:r>
        <w:rPr>
          <w:color w:val="000000"/>
          <w:sz w:val="20"/>
        </w:rPr>
        <w:t>Handling of all necessary permits and approvals;</w:t>
      </w:r>
    </w:p>
    <w:p>
      <w:pPr>
        <w:pStyle w:val="ListBullet"/>
        <w:ind w:left="227"/>
        <w:spacing w:before="0" w:after="30"/>
      </w:pPr>
      <w:r>
        <w:rPr>
          <w:color w:val="000000"/>
          <w:sz w:val="20"/>
        </w:rPr>
        <w:t>Supply of all equipment and materials;</w:t>
      </w:r>
    </w:p>
    <w:p>
      <w:pPr>
        <w:pStyle w:val="ListBullet"/>
        <w:ind w:left="227"/>
        <w:spacing w:before="0" w:after="30"/>
      </w:pPr>
      <w:r>
        <w:rPr>
          <w:color w:val="000000"/>
          <w:sz w:val="20"/>
        </w:rPr>
        <w:t>Professional installation in accordance with Cyprus standards;</w:t>
      </w:r>
    </w:p>
    <w:p>
      <w:pPr>
        <w:pStyle w:val="ListBullet"/>
        <w:ind w:left="227"/>
        <w:spacing w:before="0" w:after="30"/>
      </w:pPr>
      <w:r>
        <w:rPr>
          <w:color w:val="000000"/>
          <w:sz w:val="20"/>
        </w:rPr>
        <w:t>System commissioning and testing;</w:t>
      </w:r>
    </w:p>
    <w:p>
      <w:pPr>
        <w:pStyle w:val="ListBullet"/>
        <w:ind w:left="227"/>
        <w:spacing w:before="0" w:after="30"/>
      </w:pPr>
      <w:r>
        <w:rPr>
          <w:color w:val="000000"/>
          <w:sz w:val="20"/>
        </w:rPr>
        <w:t>Training on system operation and monitoring.</w:t>
      </w:r>
    </w:p>
    <w:p>
      <w:pPr>
        <w:spacing w:before="100" w:after="40"/>
      </w:pPr>
      <w:r>
        <w:rPr>
          <w:b/>
          <w:color w:val="1A365D"/>
          <w:sz w:val="21"/>
        </w:rPr>
        <w:t>1.3  Installation Standards</w:t>
      </w:r>
    </w:p>
    <w:p>
      <w:pPr>
        <w:ind w:left="0"/>
        <w:spacing w:before="0" w:after="50"/>
      </w:pPr>
      <w:r>
        <w:rPr>
          <w:color w:val="000000"/>
          <w:sz w:val="20"/>
        </w:rPr>
        <w:t>All work shall comply with:</w:t>
      </w:r>
    </w:p>
    <w:p>
      <w:pPr>
        <w:pStyle w:val="ListBullet"/>
        <w:ind w:left="227"/>
        <w:spacing w:before="0" w:after="30"/>
      </w:pPr>
      <w:r>
        <w:rPr>
          <w:color w:val="000000"/>
          <w:sz w:val="20"/>
        </w:rPr>
        <w:t>Cyprus Electricity Authority (EAC) regulations;</w:t>
      </w:r>
    </w:p>
    <w:p>
      <w:pPr>
        <w:pStyle w:val="ListBullet"/>
        <w:ind w:left="227"/>
        <w:spacing w:before="0" w:after="30"/>
      </w:pPr>
      <w:r>
        <w:rPr>
          <w:color w:val="000000"/>
          <w:sz w:val="20"/>
        </w:rPr>
        <w:t>Cyprus Energy Regulatory Authority (CERA) requirements;</w:t>
      </w:r>
    </w:p>
    <w:p>
      <w:pPr>
        <w:pStyle w:val="ListBullet"/>
        <w:ind w:left="227"/>
        <w:spacing w:before="0" w:after="30"/>
      </w:pPr>
      <w:r>
        <w:rPr>
          <w:color w:val="000000"/>
          <w:sz w:val="20"/>
        </w:rPr>
        <w:t>EU safety and quality standards;</w:t>
      </w:r>
    </w:p>
    <w:p>
      <w:pPr>
        <w:pStyle w:val="ListBullet"/>
        <w:ind w:left="227"/>
        <w:spacing w:before="0" w:after="30"/>
      </w:pPr>
      <w:r>
        <w:rPr>
          <w:color w:val="000000"/>
          <w:sz w:val="20"/>
        </w:rPr>
        <w:t>Local building and planning regulations;</w:t>
      </w:r>
    </w:p>
    <w:p>
      <w:pPr>
        <w:pStyle w:val="ListBullet"/>
        <w:ind w:left="227"/>
        <w:spacing w:before="0" w:after="30"/>
      </w:pPr>
      <w:r>
        <w:rPr>
          <w:color w:val="000000"/>
          <w:sz w:val="20"/>
        </w:rPr>
        <w:t>All applicable Cyprus laws and regulations.</w:t>
      </w:r>
    </w:p>
    <w:p>
      <w:pPr>
        <w:spacing w:before="100" w:after="40"/>
      </w:pPr>
      <w:r>
        <w:rPr>
          <w:b/>
          <w:color w:val="1A365D"/>
          <w:sz w:val="21"/>
        </w:rPr>
        <w:t>1.4  Yield Disclaimer</w:t>
      </w:r>
    </w:p>
    <w:tbl>
      <w:tblPr>
        <w:tblW w:type="auto" w:w="0"/>
        <w:jc w:val="left"/>
        <w:tblLook w:firstColumn="1" w:firstRow="1" w:lastColumn="0" w:lastRow="0" w:noHBand="0" w:noVBand="1" w:val="04A0"/>
      </w:tblPr>
      <w:tblGrid>
        <w:gridCol w:w="9406"/>
      </w:tblGrid>
      <w:tr>
        <w:tc>
          <w:tcPr>
            <w:tcW w:type="dxa" w:w="9360"/>
            <w:shd w:val="clear" w:color="auto" w:fill="FFF8E1"/>
            <w:tcBorders>
              <w:top w:val="single" w:sz="12" w:color="C9A432"/>
              <w:bottom w:val="single" w:sz="12" w:color="C9A432"/>
              <w:left w:val="single" w:sz="12" w:color="C9A432"/>
              <w:right w:val="single" w:sz="12" w:color="C9A432"/>
            </w:tcBorders>
          </w:tcPr>
          <w:p>
            <w:pPr>
              <w:spacing w:before="60" w:after="60"/>
            </w:pPr>
            <w:r>
              <w:rPr>
                <w:color w:val="000000"/>
                <w:sz w:val="19"/>
              </w:rPr>
              <w:t>IMPORTANT: The estimated annual yield figure above is indicative only. Actual energy generation depends on solar irradiation, shading, weather conditions, panel orientation, system degradation, and grid availability. The Contractor makes no warranty as to actual energy output unless a written performance guarantee is separately executed.</w:t>
            </w:r>
          </w:p>
        </w:tc>
      </w:tr>
    </w:tbl>
    <w:p/>
    <w:p>
      <w:pPr>
        <w:pBdr>
          <w:bottom w:val="single" w:sz="6" w:color="1A365D"/>
        </w:pBdr>
        <w:spacing w:before="160" w:after="60"/>
      </w:pPr>
      <w:r>
        <w:rPr>
          <w:b/>
          <w:color w:val="C9A432"/>
          <w:sz w:val="26"/>
        </w:rPr>
        <w:t>2.  TIMELINE AND MILESTONES</w:t>
      </w:r>
    </w:p>
    <w:p>
      <w:pPr>
        <w:spacing w:before="100" w:after="40"/>
      </w:pPr>
      <w:r>
        <w:rPr>
          <w:b/>
          <w:color w:val="1A365D"/>
          <w:sz w:val="21"/>
        </w:rPr>
        <w:t>2.1  Project Timeline</w:t>
      </w:r>
    </w:p>
    <w:tbl>
      <w:tblPr>
        <w:tblStyle w:val="TableGrid"/>
        <w:tblW w:type="auto" w:w="0"/>
        <w:jc w:val="left"/>
        <w:tblLook w:firstColumn="1" w:firstRow="1" w:lastColumn="0" w:lastRow="0" w:noHBand="0" w:noVBand="1" w:val="04A0"/>
      </w:tblPr>
      <w:tblGrid>
        <w:gridCol w:w="4703"/>
        <w:gridCol w:w="4703"/>
      </w:tblGrid>
      <w:tr>
        <w:tc>
          <w:tcPr>
            <w:tcW w:type="dxa" w:w="3456"/>
            <w:shd w:val="clear" w:color="auto" w:fill="1A365D"/>
          </w:tcPr>
          <w:p>
            <w:pPr>
              <w:spacing w:before="40" w:after="40"/>
            </w:pPr>
            <w:r>
              <w:rPr>
                <w:b/>
                <w:color w:val="FFFFFF"/>
                <w:sz w:val="19"/>
              </w:rPr>
              <w:t>Milestone</w:t>
            </w:r>
          </w:p>
        </w:tc>
        <w:tc>
          <w:tcPr>
            <w:tcW w:type="dxa" w:w="5904"/>
            <w:shd w:val="clear" w:color="auto" w:fill="1A365D"/>
          </w:tcPr>
          <w:p>
            <w:pPr>
              <w:spacing w:before="40" w:after="40"/>
            </w:pPr>
            <w:r>
              <w:rPr>
                <w:b/>
                <w:color w:val="FFFFFF"/>
                <w:sz w:val="19"/>
              </w:rPr>
              <w:t>Status / Target</w:t>
            </w:r>
          </w:p>
        </w:tc>
      </w:tr>
      <w:tr>
        <w:tc>
          <w:tcPr>
            <w:tcW w:type="dxa" w:w="3456"/>
            <w:shd w:val="clear" w:color="auto" w:fill="F5F7FA"/>
          </w:tcPr>
          <w:p>
            <w:pPr>
              <w:spacing w:before="40" w:after="40"/>
            </w:pPr>
            <w:r>
              <w:rPr>
                <w:b/>
                <w:color w:val="1A365D"/>
                <w:sz w:val="19"/>
              </w:rPr>
              <w:t>Contract Signing Date</w:t>
            </w:r>
          </w:p>
        </w:tc>
        <w:tc>
          <w:tcPr>
            <w:tcW w:type="dxa" w:w="5904"/>
          </w:tcPr>
          <w:p>
            <w:pPr>
              <w:spacing w:before="40" w:after="40"/>
            </w:pPr>
            <w:r>
              <w:rPr>
                <w:color w:val="000000"/>
                <w:sz w:val="19"/>
              </w:rPr>
              <w:t>19 December 2025</w:t>
            </w:r>
          </w:p>
        </w:tc>
      </w:tr>
      <w:tr>
        <w:tc>
          <w:tcPr>
            <w:tcW w:type="dxa" w:w="3456"/>
            <w:shd w:val="clear" w:color="auto" w:fill="F5F7FA"/>
          </w:tcPr>
          <w:p>
            <w:pPr>
              <w:spacing w:before="40" w:after="40"/>
            </w:pPr>
            <w:r>
              <w:rPr>
                <w:b/>
                <w:color w:val="1A365D"/>
                <w:sz w:val="19"/>
              </w:rPr>
              <w:t>EAC Application Submission</w:t>
            </w:r>
          </w:p>
        </w:tc>
        <w:tc>
          <w:tcPr>
            <w:tcW w:type="dxa" w:w="5904"/>
          </w:tcPr>
          <w:p>
            <w:pPr>
              <w:spacing w:before="40" w:after="40"/>
            </w:pPr>
            <w:r>
              <w:rPr>
                <w:color w:val="000000"/>
                <w:sz w:val="19"/>
              </w:rPr>
              <w:t>Submitted prior to application deadline — COMPLETED</w:t>
            </w:r>
          </w:p>
        </w:tc>
      </w:tr>
      <w:tr>
        <w:tc>
          <w:tcPr>
            <w:tcW w:type="dxa" w:w="3456"/>
            <w:shd w:val="clear" w:color="auto" w:fill="F5F7FA"/>
          </w:tcPr>
          <w:p>
            <w:pPr>
              <w:spacing w:before="40" w:after="40"/>
            </w:pPr>
            <w:r>
              <w:rPr>
                <w:b/>
                <w:color w:val="1A365D"/>
                <w:sz w:val="19"/>
              </w:rPr>
              <w:t>Connection Terms (Preliminary)</w:t>
            </w:r>
          </w:p>
        </w:tc>
        <w:tc>
          <w:tcPr>
            <w:tcW w:type="dxa" w:w="5904"/>
          </w:tcPr>
          <w:p>
            <w:pPr>
              <w:spacing w:before="40" w:after="40"/>
            </w:pPr>
            <w:r>
              <w:rPr>
                <w:color w:val="000000"/>
                <w:sz w:val="19"/>
              </w:rPr>
              <w:t>Issued by EAC/DSO — ISSUED</w:t>
            </w:r>
          </w:p>
        </w:tc>
      </w:tr>
      <w:tr>
        <w:tc>
          <w:tcPr>
            <w:tcW w:type="dxa" w:w="3456"/>
            <w:shd w:val="clear" w:color="auto" w:fill="F5F7FA"/>
          </w:tcPr>
          <w:p>
            <w:pPr>
              <w:spacing w:before="40" w:after="40"/>
            </w:pPr>
            <w:r>
              <w:rPr>
                <w:b/>
                <w:color w:val="1A365D"/>
                <w:sz w:val="19"/>
              </w:rPr>
              <w:t>Equipment Delivery</w:t>
            </w:r>
          </w:p>
        </w:tc>
        <w:tc>
          <w:tcPr>
            <w:tcW w:type="dxa" w:w="5904"/>
          </w:tcPr>
          <w:p>
            <w:pPr>
              <w:spacing w:before="40" w:after="40"/>
            </w:pPr>
            <w:r>
              <w:rPr>
                <w:color w:val="000000"/>
                <w:sz w:val="19"/>
              </w:rPr>
              <w:t>Within agreed programme; Client notified ≥ 3 days in advance</w:t>
            </w:r>
          </w:p>
        </w:tc>
      </w:tr>
      <w:tr>
        <w:tc>
          <w:tcPr>
            <w:tcW w:type="dxa" w:w="3456"/>
            <w:shd w:val="clear" w:color="auto" w:fill="F5F7FA"/>
          </w:tcPr>
          <w:p>
            <w:pPr>
              <w:spacing w:before="40" w:after="40"/>
            </w:pPr>
            <w:r>
              <w:rPr>
                <w:b/>
                <w:color w:val="1A365D"/>
                <w:sz w:val="19"/>
              </w:rPr>
              <w:t>Installation</w:t>
            </w:r>
          </w:p>
        </w:tc>
        <w:tc>
          <w:tcPr>
            <w:tcW w:type="dxa" w:w="5904"/>
          </w:tcPr>
          <w:p>
            <w:pPr>
              <w:spacing w:before="40" w:after="40"/>
            </w:pPr>
            <w:r>
              <w:rPr>
                <w:color w:val="000000"/>
                <w:sz w:val="19"/>
              </w:rPr>
              <w:t>Within 4 months of contract signing; duration 2–3 working days</w:t>
            </w:r>
          </w:p>
        </w:tc>
      </w:tr>
      <w:tr>
        <w:tc>
          <w:tcPr>
            <w:tcW w:type="dxa" w:w="3456"/>
            <w:shd w:val="clear" w:color="auto" w:fill="F5F7FA"/>
          </w:tcPr>
          <w:p>
            <w:pPr>
              <w:spacing w:before="40" w:after="40"/>
            </w:pPr>
            <w:r>
              <w:rPr>
                <w:b/>
                <w:color w:val="1A365D"/>
                <w:sz w:val="19"/>
              </w:rPr>
              <w:t>EAC Inspection</w:t>
            </w:r>
          </w:p>
        </w:tc>
        <w:tc>
          <w:tcPr>
            <w:tcW w:type="dxa" w:w="5904"/>
          </w:tcPr>
          <w:p>
            <w:pPr>
              <w:spacing w:before="40" w:after="40"/>
            </w:pPr>
            <w:r>
              <w:rPr>
                <w:color w:val="000000"/>
                <w:sz w:val="19"/>
              </w:rPr>
              <w:t>To be scheduled by EAC following installation</w:t>
            </w:r>
          </w:p>
        </w:tc>
      </w:tr>
      <w:tr>
        <w:tc>
          <w:tcPr>
            <w:tcW w:type="dxa" w:w="3456"/>
            <w:shd w:val="clear" w:color="auto" w:fill="F5F7FA"/>
          </w:tcPr>
          <w:p>
            <w:pPr>
              <w:spacing w:before="40" w:after="40"/>
            </w:pPr>
            <w:r>
              <w:rPr>
                <w:b/>
                <w:color w:val="1A365D"/>
                <w:sz w:val="19"/>
              </w:rPr>
              <w:t>System Commissioning</w:t>
            </w:r>
          </w:p>
        </w:tc>
        <w:tc>
          <w:tcPr>
            <w:tcW w:type="dxa" w:w="5904"/>
          </w:tcPr>
          <w:p>
            <w:pPr>
              <w:spacing w:before="40" w:after="40"/>
            </w:pPr>
            <w:r>
              <w:rPr>
                <w:color w:val="000000"/>
                <w:sz w:val="19"/>
              </w:rPr>
              <w:t>Upon successful EAC inspection and grid connection approval</w:t>
            </w:r>
          </w:p>
        </w:tc>
      </w:tr>
    </w:tbl>
    <w:p/>
    <w:p>
      <w:pPr>
        <w:spacing w:before="100" w:after="40"/>
      </w:pPr>
      <w:r>
        <w:rPr>
          <w:b/>
          <w:color w:val="1A365D"/>
          <w:sz w:val="21"/>
        </w:rPr>
        <w:t>2.2  Delays</w:t>
      </w:r>
    </w:p>
    <w:p>
      <w:pPr>
        <w:ind w:left="0"/>
        <w:spacing w:before="0" w:after="50"/>
      </w:pPr>
      <w:r>
        <w:rPr>
          <w:color w:val="000000"/>
          <w:sz w:val="20"/>
        </w:rPr>
        <w:t>The Contractor shall not be liable for delays caused by:</w:t>
      </w:r>
    </w:p>
    <w:p>
      <w:pPr>
        <w:pStyle w:val="ListBullet"/>
        <w:ind w:left="227"/>
        <w:spacing w:before="0" w:after="30"/>
      </w:pPr>
      <w:r>
        <w:rPr>
          <w:color w:val="000000"/>
          <w:sz w:val="20"/>
        </w:rPr>
        <w:t>EAC processing times;</w:t>
      </w:r>
    </w:p>
    <w:p>
      <w:pPr>
        <w:pStyle w:val="ListBullet"/>
        <w:ind w:left="227"/>
        <w:spacing w:before="0" w:after="30"/>
      </w:pPr>
      <w:r>
        <w:rPr>
          <w:color w:val="000000"/>
          <w:sz w:val="20"/>
        </w:rPr>
        <w:t>Weather conditions or force majeure events (see §13.6);</w:t>
      </w:r>
    </w:p>
    <w:p>
      <w:pPr>
        <w:pStyle w:val="ListBullet"/>
        <w:ind w:left="227"/>
        <w:spacing w:before="0" w:after="30"/>
      </w:pPr>
      <w:r>
        <w:rPr>
          <w:color w:val="000000"/>
          <w:sz w:val="20"/>
        </w:rPr>
        <w:t>Client-requested changes;</w:t>
      </w:r>
    </w:p>
    <w:p>
      <w:pPr>
        <w:pStyle w:val="ListBullet"/>
        <w:ind w:left="227"/>
        <w:spacing w:before="0" w:after="30"/>
      </w:pPr>
      <w:r>
        <w:rPr>
          <w:color w:val="000000"/>
          <w:sz w:val="20"/>
        </w:rPr>
        <w:t>Delays in obtaining permits beyond the Contractor's reasonable control;</w:t>
      </w:r>
    </w:p>
    <w:p>
      <w:pPr>
        <w:pStyle w:val="ListBullet"/>
        <w:ind w:left="227"/>
        <w:spacing w:before="0" w:after="30"/>
      </w:pPr>
      <w:r>
        <w:rPr>
          <w:color w:val="000000"/>
          <w:sz w:val="20"/>
        </w:rPr>
        <w:t>Client's failure to provide required documents or access.</w:t>
      </w:r>
    </w:p>
    <w:p>
      <w:pPr>
        <w:pBdr>
          <w:bottom w:val="single" w:sz="6" w:color="1A365D"/>
        </w:pBdr>
        <w:spacing w:before="160" w:after="60"/>
      </w:pPr>
      <w:r>
        <w:rPr>
          <w:b/>
          <w:color w:val="C9A432"/>
          <w:sz w:val="26"/>
        </w:rPr>
        <w:t>3.  PAYMENT TERMS</w:t>
      </w:r>
    </w:p>
    <w:p>
      <w:pPr>
        <w:spacing w:before="100" w:after="40"/>
      </w:pPr>
      <w:r>
        <w:rPr>
          <w:b/>
          <w:color w:val="1A365D"/>
          <w:sz w:val="21"/>
        </w:rPr>
        <w:t>3.1  Total Contract Price (VAT Inclusive)</w:t>
      </w:r>
    </w:p>
    <w:tbl>
      <w:tblPr>
        <w:tblStyle w:val="TableGrid"/>
        <w:tblW w:type="auto" w:w="0"/>
        <w:jc w:val="left"/>
        <w:tblLook w:firstColumn="1" w:firstRow="1" w:lastColumn="0" w:lastRow="0" w:noHBand="0" w:noVBand="1" w:val="04A0"/>
      </w:tblPr>
      <w:tblGrid>
        <w:gridCol w:w="4703"/>
        <w:gridCol w:w="4703"/>
      </w:tblGrid>
      <w:tr>
        <w:tc>
          <w:tcPr>
            <w:tcW w:type="dxa" w:w="5040"/>
            <w:shd w:val="clear" w:color="auto" w:fill="F5F7FA"/>
          </w:tcPr>
          <w:p>
            <w:pPr>
              <w:spacing w:before="40" w:after="40"/>
            </w:pPr>
            <w:r>
              <w:rPr>
                <w:b/>
                <w:color w:val="1A365D"/>
                <w:sz w:val="19"/>
              </w:rPr>
              <w:t>Total Contract Price (VAT incl. 19%)</w:t>
            </w:r>
          </w:p>
        </w:tc>
        <w:tc>
          <w:tcPr>
            <w:tcW w:type="dxa" w:w="4320"/>
          </w:tcPr>
          <w:p>
            <w:pPr>
              <w:spacing w:before="40" w:after="40"/>
            </w:pPr>
            <w:r>
              <w:rPr>
                <w:color w:val="000000"/>
                <w:sz w:val="19"/>
              </w:rPr>
              <w:t>€9,000.00</w:t>
            </w:r>
          </w:p>
        </w:tc>
      </w:tr>
      <w:tr>
        <w:tc>
          <w:tcPr>
            <w:tcW w:type="dxa" w:w="5040"/>
            <w:shd w:val="clear" w:color="auto" w:fill="F5F7FA"/>
          </w:tcPr>
          <w:p>
            <w:pPr>
              <w:spacing w:before="40" w:after="40"/>
            </w:pPr>
            <w:r>
              <w:rPr>
                <w:b/>
                <w:color w:val="1A365D"/>
                <w:sz w:val="19"/>
              </w:rPr>
              <w:t>Net Amount (excl. VAT)</w:t>
            </w:r>
          </w:p>
        </w:tc>
        <w:tc>
          <w:tcPr>
            <w:tcW w:type="dxa" w:w="4320"/>
          </w:tcPr>
          <w:p>
            <w:pPr>
              <w:spacing w:before="40" w:after="40"/>
            </w:pPr>
            <w:r>
              <w:rPr>
                <w:color w:val="000000"/>
                <w:sz w:val="19"/>
              </w:rPr>
              <w:t>€7,563.03</w:t>
            </w:r>
          </w:p>
        </w:tc>
      </w:tr>
      <w:tr>
        <w:tc>
          <w:tcPr>
            <w:tcW w:type="dxa" w:w="5040"/>
            <w:shd w:val="clear" w:color="auto" w:fill="F5F7FA"/>
          </w:tcPr>
          <w:p>
            <w:pPr>
              <w:spacing w:before="40" w:after="40"/>
            </w:pPr>
            <w:r>
              <w:rPr>
                <w:b/>
                <w:color w:val="1A365D"/>
                <w:sz w:val="19"/>
              </w:rPr>
              <w:t>VAT (19%)</w:t>
            </w:r>
          </w:p>
        </w:tc>
        <w:tc>
          <w:tcPr>
            <w:tcW w:type="dxa" w:w="4320"/>
          </w:tcPr>
          <w:p>
            <w:pPr>
              <w:spacing w:before="40" w:after="40"/>
            </w:pPr>
            <w:r>
              <w:rPr>
                <w:color w:val="000000"/>
                <w:sz w:val="19"/>
              </w:rPr>
              <w:t>€1,436.97</w:t>
            </w:r>
          </w:p>
        </w:tc>
      </w:tr>
    </w:tbl>
    <w:p/>
    <w:p>
      <w:pPr>
        <w:spacing w:before="100" w:after="40"/>
      </w:pPr>
      <w:r>
        <w:rPr>
          <w:b/>
          <w:color w:val="1A365D"/>
          <w:sz w:val="21"/>
        </w:rPr>
        <w:t>3.2  Payment Schedule</w:t>
      </w:r>
    </w:p>
    <w:p>
      <w:pPr>
        <w:ind w:left="0"/>
        <w:spacing w:before="0" w:after="50"/>
      </w:pPr>
      <w:r>
        <w:rPr>
          <w:color w:val="000000"/>
          <w:sz w:val="20"/>
        </w:rPr>
        <w:t>Payments shall be made by bank transfer to the Contractor's account. No works shall commence or materials ordered until the Deposit (Instalment 1) is received. All amounts are VAT-inclusive.</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1A365D"/>
          </w:tcPr>
          <w:p>
            <w:pPr>
              <w:jc w:val="center"/>
              <w:spacing w:before="40" w:after="40"/>
            </w:pPr>
            <w:r>
              <w:rPr>
                <w:b/>
                <w:color w:val="FFFFFF"/>
                <w:sz w:val="19"/>
              </w:rPr>
              <w:t>Instalment</w:t>
            </w:r>
          </w:p>
        </w:tc>
        <w:tc>
          <w:tcPr>
            <w:tcW w:type="dxa" w:w="5760"/>
            <w:shd w:val="clear" w:color="auto" w:fill="1A365D"/>
          </w:tcPr>
          <w:p>
            <w:pPr>
              <w:jc w:val="center"/>
              <w:spacing w:before="40" w:after="40"/>
            </w:pPr>
            <w:r>
              <w:rPr>
                <w:b/>
                <w:color w:val="FFFFFF"/>
                <w:sz w:val="19"/>
              </w:rPr>
              <w:t>Trigger / Milestone</w:t>
            </w:r>
          </w:p>
        </w:tc>
        <w:tc>
          <w:tcPr>
            <w:tcW w:type="dxa" w:w="1584"/>
            <w:shd w:val="clear" w:color="auto" w:fill="1A365D"/>
          </w:tcPr>
          <w:p>
            <w:pPr>
              <w:jc w:val="center"/>
              <w:spacing w:before="40" w:after="40"/>
            </w:pPr>
            <w:r>
              <w:rPr>
                <w:b/>
                <w:color w:val="FFFFFF"/>
                <w:sz w:val="19"/>
              </w:rPr>
              <w:t>Amount</w:t>
            </w:r>
          </w:p>
        </w:tc>
      </w:tr>
      <w:tr>
        <w:tc>
          <w:tcPr>
            <w:tcW w:type="dxa" w:w="2016"/>
          </w:tcPr>
          <w:p>
            <w:pPr>
              <w:spacing w:before="40" w:after="40"/>
            </w:pPr>
            <w:r>
              <w:rPr>
                <w:b/>
                <w:color w:val="1A365D"/>
                <w:sz w:val="19"/>
              </w:rPr>
              <w:t>#1 — Deposit (40%)</w:t>
            </w:r>
          </w:p>
        </w:tc>
        <w:tc>
          <w:tcPr>
            <w:tcW w:type="dxa" w:w="5760"/>
          </w:tcPr>
          <w:p>
            <w:pPr>
              <w:spacing w:before="40" w:after="40"/>
            </w:pPr>
            <w:r>
              <w:rPr>
                <w:b w:val="0"/>
                <w:color w:val="000000"/>
                <w:sz w:val="19"/>
              </w:rPr>
              <w:t>Due upon contract signing</w:t>
            </w:r>
          </w:p>
        </w:tc>
        <w:tc>
          <w:tcPr>
            <w:tcW w:type="dxa" w:w="1584"/>
          </w:tcPr>
          <w:p>
            <w:pPr>
              <w:jc w:val="center"/>
              <w:spacing w:before="40" w:after="40"/>
            </w:pPr>
            <w:r>
              <w:rPr>
                <w:b/>
                <w:color w:val="1A365D"/>
                <w:sz w:val="19"/>
              </w:rPr>
              <w:t>40%</w:t>
              <w:br/>
              <w:t>€3,600.00</w:t>
            </w:r>
          </w:p>
        </w:tc>
      </w:tr>
      <w:tr>
        <w:tc>
          <w:tcPr>
            <w:tcW w:type="dxa" w:w="2016"/>
          </w:tcPr>
          <w:p>
            <w:pPr>
              <w:spacing w:before="40" w:after="40"/>
            </w:pPr>
            <w:r>
              <w:rPr>
                <w:b/>
                <w:color w:val="1A365D"/>
                <w:sz w:val="19"/>
              </w:rPr>
              <w:t>#2 — Installation (50%)</w:t>
            </w:r>
          </w:p>
        </w:tc>
        <w:tc>
          <w:tcPr>
            <w:tcW w:type="dxa" w:w="5760"/>
          </w:tcPr>
          <w:p>
            <w:pPr>
              <w:spacing w:before="40" w:after="40"/>
            </w:pPr>
            <w:r>
              <w:rPr>
                <w:b w:val="0"/>
                <w:color w:val="000000"/>
                <w:sz w:val="19"/>
              </w:rPr>
              <w:t>Due upon completion of physical installation works.</w:t>
            </w:r>
          </w:p>
        </w:tc>
        <w:tc>
          <w:tcPr>
            <w:tcW w:type="dxa" w:w="1584"/>
          </w:tcPr>
          <w:p>
            <w:pPr>
              <w:jc w:val="center"/>
              <w:spacing w:before="40" w:after="40"/>
            </w:pPr>
            <w:r>
              <w:rPr>
                <w:b/>
                <w:color w:val="1A365D"/>
                <w:sz w:val="19"/>
              </w:rPr>
              <w:t>50%</w:t>
              <w:br/>
              <w:t>€4,500.00</w:t>
            </w:r>
          </w:p>
        </w:tc>
      </w:tr>
      <w:tr>
        <w:tc>
          <w:tcPr>
            <w:tcW w:type="dxa" w:w="2016"/>
          </w:tcPr>
          <w:p>
            <w:pPr>
              <w:spacing w:before="40" w:after="40"/>
            </w:pPr>
            <w:r>
              <w:rPr>
                <w:b/>
                <w:color w:val="1A365D"/>
                <w:sz w:val="19"/>
              </w:rPr>
              <w:t>#3 — Final (10%)</w:t>
            </w:r>
          </w:p>
        </w:tc>
        <w:tc>
          <w:tcPr>
            <w:tcW w:type="dxa" w:w="5760"/>
          </w:tcPr>
          <w:p>
            <w:pPr>
              <w:spacing w:before="40" w:after="40"/>
            </w:pPr>
            <w:r>
              <w:rPr>
                <w:b w:val="0"/>
                <w:color w:val="000000"/>
                <w:sz w:val="19"/>
              </w:rPr>
              <w:t>Due upon EAC inspection and grid connection approval.</w:t>
            </w:r>
          </w:p>
        </w:tc>
        <w:tc>
          <w:tcPr>
            <w:tcW w:type="dxa" w:w="1584"/>
          </w:tcPr>
          <w:p>
            <w:pPr>
              <w:jc w:val="center"/>
              <w:spacing w:before="40" w:after="40"/>
            </w:pPr>
            <w:r>
              <w:rPr>
                <w:b/>
                <w:color w:val="1A365D"/>
                <w:sz w:val="19"/>
              </w:rPr>
              <w:t>10%</w:t>
              <w:br/>
              <w:t>€900.00</w:t>
            </w:r>
          </w:p>
        </w:tc>
      </w:tr>
    </w:tbl>
    <w:p/>
    <w:p>
      <w:pPr>
        <w:spacing w:before="100" w:after="40"/>
      </w:pPr>
      <w:r>
        <w:rPr>
          <w:b/>
          <w:color w:val="1A365D"/>
          <w:sz w:val="21"/>
        </w:rPr>
        <w:t>3.2.1  Late Payment Interest</w:t>
      </w:r>
    </w:p>
    <w:p>
      <w:pPr>
        <w:ind w:left="0"/>
        <w:spacing w:before="0" w:after="50"/>
      </w:pPr>
      <w:r>
        <w:rPr>
          <w:color w:val="000000"/>
          <w:sz w:val="20"/>
        </w:rPr>
        <w:t>If the Client fails to make any payment when due, interest shall accrue on the overdue amount from the due date at the rate prescribed by EU Directive 2011/7/EU — being the European Central Bank main refinancing rate plus eight percentage points (8%) per annum. The Contractor may suspend works upon seven (7) days' written notice of non-payment.</w:t>
      </w:r>
    </w:p>
    <w:p>
      <w:pPr>
        <w:spacing w:before="100" w:after="40"/>
      </w:pPr>
      <w:r>
        <w:rPr>
          <w:b/>
          <w:color w:val="1A365D"/>
          <w:sz w:val="21"/>
        </w:rPr>
        <w:t>3.2.2  EAC/DSO Connection Application Fee</w:t>
      </w:r>
    </w:p>
    <w:tbl>
      <w:tblPr>
        <w:tblW w:type="auto" w:w="0"/>
        <w:jc w:val="left"/>
        <w:tblLook w:firstColumn="1" w:firstRow="1" w:lastColumn="0" w:lastRow="0" w:noHBand="0" w:noVBand="1" w:val="04A0"/>
      </w:tblPr>
      <w:tblGrid>
        <w:gridCol w:w="9406"/>
      </w:tblGrid>
      <w:tr>
        <w:tc>
          <w:tcPr>
            <w:tcW w:type="dxa" w:w="9360"/>
            <w:shd w:val="clear" w:color="auto" w:fill="FFF8E1"/>
            <w:tcBorders>
              <w:top w:val="single" w:sz="12" w:color="C9A432"/>
              <w:bottom w:val="single" w:sz="12" w:color="C9A432"/>
              <w:left w:val="single" w:sz="12" w:color="C9A432"/>
              <w:right w:val="single" w:sz="12" w:color="C9A432"/>
            </w:tcBorders>
          </w:tcPr>
          <w:p>
            <w:pPr>
              <w:spacing w:before="60" w:after="60"/>
            </w:pPr>
            <w:r>
              <w:rPr>
                <w:color w:val="000000"/>
                <w:sz w:val="19"/>
              </w:rPr>
              <w:t>Not included in the Contract Price: The EAC/DSO one-time connection application fee (covering DSO processing, inspection, system connection to the distribution network, and ripple control connection) is payable directly by the Client to EAC upon issuance of connection terms. Current fee: €365.00 + VAT 19% = €434.35. This fee is set by EAC/CERA and may change without notice.</w:t>
            </w:r>
          </w:p>
        </w:tc>
      </w:tr>
    </w:tbl>
    <w:p/>
    <w:p>
      <w:pPr>
        <w:pBdr>
          <w:bottom w:val="single" w:sz="6" w:color="1A365D"/>
        </w:pBdr>
        <w:spacing w:before="160" w:after="60"/>
      </w:pPr>
      <w:r>
        <w:rPr>
          <w:b/>
          <w:color w:val="C9A432"/>
          <w:sz w:val="26"/>
        </w:rPr>
        <w:t>4.  WARRANTIES AND GUARANTEES</w:t>
      </w:r>
    </w:p>
    <w:p>
      <w:pPr>
        <w:spacing w:before="100" w:after="40"/>
      </w:pPr>
      <w:r>
        <w:rPr>
          <w:b/>
          <w:color w:val="1A365D"/>
          <w:sz w:val="21"/>
        </w:rPr>
        <w:t>4.1  Warranty Summary</w:t>
      </w:r>
    </w:p>
    <w:tbl>
      <w:tblPr>
        <w:tblStyle w:val="TableGrid"/>
        <w:tblW w:type="auto" w:w="0"/>
        <w:tblLook w:firstColumn="1" w:firstRow="1" w:lastColumn="0" w:lastRow="0" w:noHBand="0" w:noVBand="1" w:val="04A0"/>
      </w:tblPr>
      <w:tblGrid>
        <w:gridCol w:w="3135"/>
        <w:gridCol w:w="3135"/>
        <w:gridCol w:w="3135"/>
      </w:tblGrid>
      <w:tr>
        <w:tc>
          <w:tcPr>
            <w:tcW w:type="dxa" w:w="2448"/>
            <w:shd w:val="clear" w:color="auto" w:fill="1A365D"/>
          </w:tcPr>
          <w:p>
            <w:pPr>
              <w:spacing w:before="40" w:after="40"/>
            </w:pPr>
            <w:r>
              <w:rPr>
                <w:b/>
                <w:color w:val="FFFFFF"/>
                <w:sz w:val="19"/>
              </w:rPr>
              <w:t>Item</w:t>
            </w:r>
          </w:p>
        </w:tc>
        <w:tc>
          <w:tcPr>
            <w:tcW w:type="dxa" w:w="4032"/>
            <w:shd w:val="clear" w:color="auto" w:fill="1A365D"/>
          </w:tcPr>
          <w:p>
            <w:pPr>
              <w:spacing w:before="40" w:after="40"/>
            </w:pPr>
            <w:r>
              <w:rPr>
                <w:b/>
                <w:color w:val="FFFFFF"/>
                <w:sz w:val="19"/>
              </w:rPr>
              <w:t>Coverage</w:t>
            </w:r>
          </w:p>
        </w:tc>
        <w:tc>
          <w:tcPr>
            <w:tcW w:type="dxa" w:w="2880"/>
            <w:shd w:val="clear" w:color="auto" w:fill="1A365D"/>
          </w:tcPr>
          <w:p>
            <w:pPr>
              <w:spacing w:before="40" w:after="40"/>
            </w:pPr>
            <w:r>
              <w:rPr>
                <w:b/>
                <w:color w:val="FFFFFF"/>
                <w:sz w:val="19"/>
              </w:rPr>
              <w:t>Basis</w:t>
            </w:r>
          </w:p>
        </w:tc>
      </w:tr>
      <w:tr>
        <w:tc>
          <w:tcPr>
            <w:tcW w:type="dxa" w:w="2448"/>
          </w:tcPr>
          <w:p>
            <w:pPr>
              <w:spacing w:before="40" w:after="40"/>
            </w:pPr>
            <w:r>
              <w:rPr>
                <w:b/>
                <w:color w:val="1A365D"/>
                <w:sz w:val="19"/>
              </w:rPr>
              <w:t>Workmanship</w:t>
            </w:r>
          </w:p>
        </w:tc>
        <w:tc>
          <w:tcPr>
            <w:tcW w:type="dxa" w:w="4032"/>
          </w:tcPr>
          <w:p>
            <w:pPr>
              <w:spacing w:before="40" w:after="40"/>
            </w:pPr>
            <w:r>
              <w:rPr>
                <w:color w:val="000000"/>
                <w:sz w:val="19"/>
              </w:rPr>
              <w:t>5 years from commissioning date</w:t>
            </w:r>
          </w:p>
        </w:tc>
        <w:tc>
          <w:tcPr>
            <w:tcW w:type="dxa" w:w="2880"/>
          </w:tcPr>
          <w:p>
            <w:pPr>
              <w:spacing w:before="40" w:after="40"/>
            </w:pPr>
            <w:r>
              <w:rPr>
                <w:color w:val="000000"/>
                <w:sz w:val="19"/>
              </w:rPr>
              <w:t>Contractual (above statutory minimum)</w:t>
            </w:r>
          </w:p>
        </w:tc>
      </w:tr>
      <w:tr>
        <w:tc>
          <w:tcPr>
            <w:tcW w:type="dxa" w:w="2448"/>
          </w:tcPr>
          <w:p>
            <w:pPr>
              <w:spacing w:before="40" w:after="40"/>
            </w:pPr>
            <w:r>
              <w:rPr>
                <w:b/>
                <w:color w:val="1A365D"/>
                <w:sz w:val="19"/>
              </w:rPr>
              <w:t>JinkoSolar Tiger Neo 590W</w:t>
              <w:br/>
              <w:t>— Product (defect)</w:t>
            </w:r>
          </w:p>
        </w:tc>
        <w:tc>
          <w:tcPr>
            <w:tcW w:type="dxa" w:w="4032"/>
          </w:tcPr>
          <w:p>
            <w:pPr>
              <w:spacing w:before="40" w:after="40"/>
            </w:pPr>
            <w:r>
              <w:rPr>
                <w:color w:val="000000"/>
                <w:sz w:val="19"/>
              </w:rPr>
              <w:t>15 years from delivery date</w:t>
            </w:r>
          </w:p>
        </w:tc>
        <w:tc>
          <w:tcPr>
            <w:tcW w:type="dxa" w:w="2880"/>
          </w:tcPr>
          <w:p>
            <w:pPr>
              <w:spacing w:before="40" w:after="40"/>
            </w:pPr>
            <w:r>
              <w:rPr>
                <w:color w:val="000000"/>
                <w:sz w:val="19"/>
              </w:rPr>
              <w:t>JinkoSolar OEM warranty</w:t>
            </w:r>
          </w:p>
        </w:tc>
      </w:tr>
      <w:tr>
        <w:tc>
          <w:tcPr>
            <w:tcW w:type="dxa" w:w="2448"/>
          </w:tcPr>
          <w:p>
            <w:pPr>
              <w:spacing w:before="40" w:after="40"/>
            </w:pPr>
            <w:r>
              <w:rPr>
                <w:b/>
                <w:color w:val="1A365D"/>
                <w:sz w:val="19"/>
              </w:rPr>
              <w:t>JinkoSolar Tiger Neo 590W</w:t>
              <w:br/>
              <w:t>— Power output</w:t>
            </w:r>
          </w:p>
        </w:tc>
        <w:tc>
          <w:tcPr>
            <w:tcW w:type="dxa" w:w="4032"/>
          </w:tcPr>
          <w:p>
            <w:pPr>
              <w:spacing w:before="40" w:after="40"/>
            </w:pPr>
            <w:r>
              <w:rPr>
                <w:color w:val="000000"/>
                <w:sz w:val="19"/>
              </w:rPr>
              <w:t>30 years — linear, ≥87.4% rated power at year 30</w:t>
            </w:r>
          </w:p>
        </w:tc>
        <w:tc>
          <w:tcPr>
            <w:tcW w:type="dxa" w:w="2880"/>
          </w:tcPr>
          <w:p>
            <w:pPr>
              <w:spacing w:before="40" w:after="40"/>
            </w:pPr>
            <w:r>
              <w:rPr>
                <w:color w:val="000000"/>
                <w:sz w:val="19"/>
              </w:rPr>
              <w:t>JinkoSolar linear performance guarantee</w:t>
            </w:r>
          </w:p>
        </w:tc>
      </w:tr>
      <w:tr>
        <w:tc>
          <w:tcPr>
            <w:tcW w:type="dxa" w:w="2448"/>
          </w:tcPr>
          <w:p>
            <w:pPr>
              <w:spacing w:before="40" w:after="40"/>
            </w:pPr>
            <w:r>
              <w:rPr>
                <w:b/>
                <w:color w:val="1A365D"/>
                <w:sz w:val="19"/>
              </w:rPr>
              <w:t>Huawei SUN2000-10KTL-M1</w:t>
              <w:br/>
              <w:t>— Inverter</w:t>
            </w:r>
          </w:p>
        </w:tc>
        <w:tc>
          <w:tcPr>
            <w:tcW w:type="dxa" w:w="4032"/>
          </w:tcPr>
          <w:p>
            <w:pPr>
              <w:spacing w:before="40" w:after="40"/>
            </w:pPr>
            <w:r>
              <w:rPr>
                <w:color w:val="000000"/>
                <w:sz w:val="19"/>
              </w:rPr>
              <w:t>10 years from commissioning (extendable to 20 yr)</w:t>
            </w:r>
          </w:p>
        </w:tc>
        <w:tc>
          <w:tcPr>
            <w:tcW w:type="dxa" w:w="2880"/>
          </w:tcPr>
          <w:p>
            <w:pPr>
              <w:spacing w:before="40" w:after="40"/>
            </w:pPr>
            <w:r>
              <w:rPr>
                <w:color w:val="000000"/>
                <w:sz w:val="19"/>
              </w:rPr>
              <w:t>Huawei OEM warranty</w:t>
            </w:r>
          </w:p>
        </w:tc>
      </w:tr>
      <w:tr>
        <w:tc>
          <w:tcPr>
            <w:tcW w:type="dxa" w:w="2448"/>
          </w:tcPr>
          <w:p>
            <w:pPr>
              <w:spacing w:before="40" w:after="40"/>
            </w:pPr>
            <w:r>
              <w:rPr>
                <w:b/>
                <w:color w:val="1A365D"/>
                <w:sz w:val="19"/>
              </w:rPr>
              <w:t>Mounting System</w:t>
            </w:r>
          </w:p>
        </w:tc>
        <w:tc>
          <w:tcPr>
            <w:tcW w:type="dxa" w:w="4032"/>
          </w:tcPr>
          <w:p>
            <w:pPr>
              <w:spacing w:before="40" w:after="40"/>
            </w:pPr>
            <w:r>
              <w:rPr>
                <w:color w:val="000000"/>
                <w:sz w:val="19"/>
              </w:rPr>
              <w:t>10 years from installation date</w:t>
            </w:r>
          </w:p>
        </w:tc>
        <w:tc>
          <w:tcPr>
            <w:tcW w:type="dxa" w:w="2880"/>
          </w:tcPr>
          <w:p>
            <w:pPr>
              <w:spacing w:before="40" w:after="40"/>
            </w:pPr>
            <w:r>
              <w:rPr>
                <w:color w:val="000000"/>
                <w:sz w:val="19"/>
              </w:rPr>
              <w:t>Manufacturer/installer warranty</w:t>
            </w:r>
          </w:p>
        </w:tc>
      </w:tr>
      <w:tr>
        <w:tc>
          <w:tcPr>
            <w:tcW w:type="dxa" w:w="2448"/>
          </w:tcPr>
          <w:p>
            <w:pPr>
              <w:spacing w:before="40" w:after="40"/>
            </w:pPr>
            <w:r>
              <w:rPr>
                <w:b/>
                <w:color w:val="1A365D"/>
                <w:sz w:val="19"/>
              </w:rPr>
              <w:t>All equipment (goods)</w:t>
            </w:r>
          </w:p>
        </w:tc>
        <w:tc>
          <w:tcPr>
            <w:tcW w:type="dxa" w:w="4032"/>
          </w:tcPr>
          <w:p>
            <w:pPr>
              <w:spacing w:before="40" w:after="40"/>
            </w:pPr>
            <w:r>
              <w:rPr>
                <w:color w:val="000000"/>
                <w:sz w:val="19"/>
              </w:rPr>
              <w:t>2 years from delivery (Cyprus Law 154(I)/2021)</w:t>
            </w:r>
          </w:p>
        </w:tc>
        <w:tc>
          <w:tcPr>
            <w:tcW w:type="dxa" w:w="2880"/>
          </w:tcPr>
          <w:p>
            <w:pPr>
              <w:spacing w:before="40" w:after="40"/>
            </w:pPr>
            <w:r>
              <w:rPr>
                <w:color w:val="000000"/>
                <w:sz w:val="19"/>
              </w:rPr>
              <w:t>Cyprus Law 154(I)/2021 — statutory minimum</w:t>
            </w:r>
          </w:p>
        </w:tc>
      </w:tr>
    </w:tbl>
    <w:p/>
    <w:p>
      <w:pPr>
        <w:spacing w:before="100" w:after="40"/>
      </w:pPr>
      <w:r>
        <w:rPr>
          <w:b/>
          <w:color w:val="1A365D"/>
          <w:sz w:val="21"/>
        </w:rPr>
        <w:t>4.2  Statutory Legal Guarantee (Cyprus Law 154(I)/2021)</w:t>
      </w:r>
    </w:p>
    <w:p>
      <w:pPr>
        <w:ind w:left="0"/>
        <w:spacing w:before="0" w:after="50"/>
      </w:pPr>
      <w:r>
        <w:rPr>
          <w:color w:val="000000"/>
          <w:sz w:val="20"/>
        </w:rPr>
        <w:t>In accordance with Cyprus Law 154(I)/2021 implementing EU Directive 2019/771 on the sale of goods, the Client is entitled to a minimum two-year legal guarantee from the date of delivery of each item of equipment, covering any lack of conformity. This statutory guarantee is in addition to any commercial OEM warranty and cannot be excluded or reduced by contract.</w:t>
      </w:r>
    </w:p>
    <w:p>
      <w:pPr>
        <w:spacing w:before="100" w:after="40"/>
      </w:pPr>
      <w:r>
        <w:rPr>
          <w:b/>
          <w:color w:val="1A365D"/>
          <w:sz w:val="21"/>
        </w:rPr>
        <w:t>4.3  Workmanship Warranty</w:t>
      </w:r>
    </w:p>
    <w:p>
      <w:pPr>
        <w:ind w:left="0"/>
        <w:spacing w:before="0" w:after="50"/>
      </w:pPr>
      <w:r>
        <w:rPr>
          <w:color w:val="000000"/>
          <w:sz w:val="20"/>
        </w:rPr>
        <w:t>The Contractor warrants all installation workmanship for five (5) years from the commissioning date. This covers defects directly attributable to the quality of installation performed by the Contractor's personnel. During this period, the Contractor shall remedy any covered defect within a reasonable time following written notice from the Client, at no additional cost.</w:t>
      </w:r>
    </w:p>
    <w:p>
      <w:pPr>
        <w:spacing w:before="100" w:after="40"/>
      </w:pPr>
      <w:r>
        <w:rPr>
          <w:b/>
          <w:color w:val="1A365D"/>
          <w:sz w:val="21"/>
        </w:rPr>
        <w:t>4.4  Warranty Conditions and Exclusions</w:t>
      </w:r>
    </w:p>
    <w:p>
      <w:pPr>
        <w:ind w:left="0"/>
        <w:spacing w:before="0" w:after="50"/>
      </w:pPr>
      <w:r>
        <w:rPr>
          <w:color w:val="000000"/>
          <w:sz w:val="20"/>
        </w:rPr>
        <w:t>Warranties are void or limited if:</w:t>
      </w:r>
    </w:p>
    <w:p>
      <w:pPr>
        <w:pStyle w:val="ListBullet"/>
        <w:ind w:left="227"/>
        <w:spacing w:before="0" w:after="30"/>
      </w:pPr>
      <w:r>
        <w:rPr>
          <w:color w:val="000000"/>
          <w:sz w:val="20"/>
        </w:rPr>
        <w:t>The system is modified or repaired without the Contractor's prior written consent;</w:t>
      </w:r>
    </w:p>
    <w:p>
      <w:pPr>
        <w:pStyle w:val="ListBullet"/>
        <w:ind w:left="227"/>
        <w:spacing w:before="0" w:after="30"/>
      </w:pPr>
      <w:r>
        <w:rPr>
          <w:color w:val="000000"/>
          <w:sz w:val="20"/>
        </w:rPr>
        <w:t>Damage is caused by Client negligence or misuse;</w:t>
      </w:r>
    </w:p>
    <w:p>
      <w:pPr>
        <w:pStyle w:val="ListBullet"/>
        <w:ind w:left="227"/>
        <w:spacing w:before="0" w:after="30"/>
      </w:pPr>
      <w:r>
        <w:rPr>
          <w:color w:val="000000"/>
          <w:sz w:val="20"/>
        </w:rPr>
        <w:t>Damage is caused by acts of God, fire, flood, or other events beyond both Parties' control;</w:t>
      </w:r>
    </w:p>
    <w:p>
      <w:pPr>
        <w:pStyle w:val="ListBullet"/>
        <w:ind w:left="227"/>
        <w:spacing w:before="0" w:after="30"/>
      </w:pPr>
      <w:r>
        <w:rPr>
          <w:color w:val="000000"/>
          <w:sz w:val="20"/>
        </w:rPr>
        <w:t>The Client has failed to fulfil payment obligations under §3.</w:t>
      </w:r>
    </w:p>
    <w:p>
      <w:pPr>
        <w:ind w:left="0"/>
        <w:spacing w:before="0" w:after="50"/>
      </w:pPr>
      <w:r>
        <w:rPr>
          <w:color w:val="000000"/>
          <w:sz w:val="20"/>
        </w:rPr>
        <w:t>Warranties do not cover routine consumables, panel soiling, shading from new structures erected after installation, or performance variations within the OEM's published tolerance range.</w:t>
      </w:r>
    </w:p>
    <w:p>
      <w:pPr>
        <w:pBdr>
          <w:bottom w:val="single" w:sz="6" w:color="1A365D"/>
        </w:pBdr>
        <w:spacing w:before="160" w:after="60"/>
      </w:pPr>
      <w:r>
        <w:rPr>
          <w:b/>
          <w:color w:val="C9A432"/>
          <w:sz w:val="26"/>
        </w:rPr>
        <w:t>5.  CLIENT OBLIGATIONS</w:t>
      </w:r>
    </w:p>
    <w:p>
      <w:pPr>
        <w:ind w:left="0"/>
        <w:spacing w:before="0" w:after="50"/>
      </w:pPr>
      <w:r>
        <w:rPr>
          <w:color w:val="000000"/>
          <w:sz w:val="20"/>
        </w:rPr>
        <w:t>The Client shall:</w:t>
      </w:r>
    </w:p>
    <w:p>
      <w:pPr>
        <w:pStyle w:val="ListBullet"/>
        <w:ind w:left="227"/>
        <w:spacing w:before="0" w:after="30"/>
      </w:pPr>
      <w:r>
        <w:rPr>
          <w:color w:val="000000"/>
          <w:sz w:val="20"/>
        </w:rPr>
        <w:t>Provide accurate electricity consumption data (last 6 EAC bills);</w:t>
      </w:r>
    </w:p>
    <w:p>
      <w:pPr>
        <w:pStyle w:val="ListBullet"/>
        <w:ind w:left="227"/>
        <w:spacing w:before="0" w:after="30"/>
      </w:pPr>
      <w:r>
        <w:rPr>
          <w:color w:val="000000"/>
          <w:sz w:val="20"/>
        </w:rPr>
        <w:t>Ensure clear, safe, and unobstructed access to the installation site;</w:t>
      </w:r>
    </w:p>
    <w:p>
      <w:pPr>
        <w:pStyle w:val="ListBullet"/>
        <w:ind w:left="227"/>
        <w:spacing w:before="0" w:after="30"/>
      </w:pPr>
      <w:r>
        <w:rPr>
          <w:color w:val="000000"/>
          <w:sz w:val="20"/>
        </w:rPr>
        <w:t>Obtain and provide to the Contractor all necessary consents from co-owners, neighbours, or property management authorities before installation commences;</w:t>
      </w:r>
    </w:p>
    <w:p>
      <w:pPr>
        <w:pStyle w:val="ListBullet"/>
        <w:ind w:left="227"/>
        <w:spacing w:before="0" w:after="30"/>
      </w:pPr>
      <w:r>
        <w:rPr>
          <w:color w:val="000000"/>
          <w:sz w:val="20"/>
        </w:rPr>
        <w:t>Provide all necessary documentation required for the EAC Net Metering application in a timely manner;</w:t>
      </w:r>
    </w:p>
    <w:p>
      <w:pPr>
        <w:pStyle w:val="ListBullet"/>
        <w:ind w:left="227"/>
        <w:spacing w:before="0" w:after="30"/>
      </w:pPr>
      <w:r>
        <w:rPr>
          <w:color w:val="000000"/>
          <w:sz w:val="20"/>
        </w:rPr>
        <w:t>Make payments in accordance with the agreed schedule in §3.2;</w:t>
      </w:r>
    </w:p>
    <w:p>
      <w:pPr>
        <w:pStyle w:val="ListBullet"/>
        <w:ind w:left="227"/>
        <w:spacing w:before="0" w:after="30"/>
      </w:pPr>
      <w:r>
        <w:rPr>
          <w:color w:val="000000"/>
          <w:sz w:val="20"/>
        </w:rPr>
        <w:t>Not modify or repair the system without the Contractor's prior written approval;</w:t>
      </w:r>
    </w:p>
    <w:p>
      <w:pPr>
        <w:pStyle w:val="ListBullet"/>
        <w:ind w:left="227"/>
        <w:spacing w:before="0" w:after="30"/>
      </w:pPr>
      <w:r>
        <w:rPr>
          <w:color w:val="000000"/>
          <w:sz w:val="20"/>
        </w:rPr>
        <w:t>Notify the Contractor of any distribution board extension requirements before installation commences — such works, if required, are not included in the Contract Price and will be quoted separately. Any modifications required to the electrical distribution board or the siting and shading mitigation of the inverter are the Client's sole responsibility; the Contractor is available to advise upon request;</w:t>
      </w:r>
    </w:p>
    <w:p>
      <w:pPr>
        <w:pStyle w:val="ListBullet"/>
        <w:ind w:left="227"/>
        <w:spacing w:before="0" w:after="30"/>
      </w:pPr>
      <w:r>
        <w:rPr>
          <w:color w:val="000000"/>
          <w:sz w:val="20"/>
        </w:rPr>
        <w:t>Maintain appropriate property insurance covering the installed system.</w:t>
      </w:r>
    </w:p>
    <w:p>
      <w:pPr>
        <w:pBdr>
          <w:bottom w:val="single" w:sz="6" w:color="1A365D"/>
        </w:pBdr>
        <w:spacing w:before="160" w:after="60"/>
      </w:pPr>
      <w:r>
        <w:rPr>
          <w:b/>
          <w:color w:val="C9A432"/>
          <w:sz w:val="26"/>
        </w:rPr>
        <w:t>6.  CONTRACTOR OBLIGATIONS</w:t>
      </w:r>
    </w:p>
    <w:p>
      <w:pPr>
        <w:ind w:left="0"/>
        <w:spacing w:before="0" w:after="50"/>
      </w:pPr>
      <w:r>
        <w:rPr>
          <w:color w:val="000000"/>
          <w:sz w:val="20"/>
        </w:rPr>
        <w:t>The Contractor shall:</w:t>
      </w:r>
    </w:p>
    <w:p>
      <w:pPr>
        <w:pStyle w:val="ListBullet"/>
        <w:ind w:left="227"/>
        <w:spacing w:before="0" w:after="30"/>
      </w:pPr>
      <w:r>
        <w:rPr>
          <w:color w:val="000000"/>
          <w:sz w:val="20"/>
        </w:rPr>
        <w:t>Perform all work with professional competence and in accordance with applicable standards;</w:t>
      </w:r>
    </w:p>
    <w:p>
      <w:pPr>
        <w:pStyle w:val="ListBullet"/>
        <w:ind w:left="227"/>
        <w:spacing w:before="0" w:after="30"/>
      </w:pPr>
      <w:r>
        <w:rPr>
          <w:color w:val="000000"/>
          <w:sz w:val="20"/>
        </w:rPr>
        <w:t>Use only certified, high-quality equipment conforming to EU CE marking requirements;</w:t>
      </w:r>
    </w:p>
    <w:p>
      <w:pPr>
        <w:pStyle w:val="ListBullet"/>
        <w:ind w:left="227"/>
        <w:spacing w:before="0" w:after="30"/>
      </w:pPr>
      <w:r>
        <w:rPr>
          <w:color w:val="000000"/>
          <w:sz w:val="20"/>
        </w:rPr>
        <w:t>Comply with all applicable safety regulations;</w:t>
      </w:r>
    </w:p>
    <w:p>
      <w:pPr>
        <w:pStyle w:val="ListBullet"/>
        <w:ind w:left="227"/>
        <w:spacing w:before="0" w:after="30"/>
      </w:pPr>
      <w:r>
        <w:rPr>
          <w:color w:val="000000"/>
          <w:sz w:val="20"/>
        </w:rPr>
        <w:t>Obtain all necessary permits and regulatory approvals within its scope;</w:t>
      </w:r>
    </w:p>
    <w:p>
      <w:pPr>
        <w:pStyle w:val="ListBullet"/>
        <w:ind w:left="227"/>
        <w:spacing w:before="0" w:after="30"/>
      </w:pPr>
      <w:r>
        <w:rPr>
          <w:color w:val="000000"/>
          <w:sz w:val="20"/>
        </w:rPr>
        <w:t>Provide the Client with all required documentation and certificates upon commissioning;</w:t>
      </w:r>
    </w:p>
    <w:p>
      <w:pPr>
        <w:pStyle w:val="ListBullet"/>
        <w:ind w:left="227"/>
        <w:spacing w:before="0" w:after="30"/>
      </w:pPr>
      <w:r>
        <w:rPr>
          <w:color w:val="000000"/>
          <w:sz w:val="20"/>
        </w:rPr>
        <w:t>Train the Client on system operation and monitoring;</w:t>
      </w:r>
    </w:p>
    <w:p>
      <w:pPr>
        <w:pStyle w:val="ListBullet"/>
        <w:ind w:left="227"/>
        <w:spacing w:before="0" w:after="30"/>
      </w:pPr>
      <w:r>
        <w:rPr>
          <w:color w:val="000000"/>
          <w:sz w:val="20"/>
        </w:rPr>
        <w:t>Respond to warranty claims in writing within ten (10) Business Days of notification;</w:t>
      </w:r>
    </w:p>
    <w:p>
      <w:pPr>
        <w:pStyle w:val="ListBullet"/>
        <w:ind w:left="227"/>
        <w:spacing w:before="0" w:after="30"/>
      </w:pPr>
      <w:r>
        <w:rPr>
          <w:color w:val="000000"/>
          <w:sz w:val="20"/>
        </w:rPr>
        <w:t>Replace any roof tiles broken or directly damaged during installation with tiles of the same style and colour (see §14.1).</w:t>
      </w:r>
    </w:p>
    <w:p>
      <w:pPr>
        <w:pBdr>
          <w:bottom w:val="single" w:sz="6" w:color="1A365D"/>
        </w:pBdr>
        <w:spacing w:before="160" w:after="60"/>
      </w:pPr>
      <w:r>
        <w:rPr>
          <w:b/>
          <w:color w:val="C9A432"/>
          <w:sz w:val="26"/>
        </w:rPr>
        <w:t>7.  MAINTENANCE AND SUPPORT</w:t>
      </w:r>
    </w:p>
    <w:p>
      <w:pPr>
        <w:spacing w:before="100" w:after="40"/>
      </w:pPr>
      <w:r>
        <w:rPr>
          <w:b/>
          <w:color w:val="1A365D"/>
          <w:sz w:val="21"/>
        </w:rPr>
        <w:t>7.1  Optional Maintenance Services</w:t>
      </w:r>
    </w:p>
    <w:p>
      <w:pPr>
        <w:ind w:left="0"/>
        <w:spacing w:before="0" w:after="50"/>
      </w:pPr>
      <w:r>
        <w:rPr>
          <w:color w:val="000000"/>
          <w:sz w:val="20"/>
        </w:rPr>
        <w:t>The Contractor offers optional maintenance packages, including:</w:t>
      </w:r>
    </w:p>
    <w:p>
      <w:pPr>
        <w:pStyle w:val="ListBullet"/>
        <w:ind w:left="227"/>
        <w:spacing w:before="0" w:after="30"/>
      </w:pPr>
      <w:r>
        <w:rPr>
          <w:color w:val="000000"/>
          <w:sz w:val="20"/>
        </w:rPr>
        <w:t>Annual inspection and cleaning;</w:t>
      </w:r>
    </w:p>
    <w:p>
      <w:pPr>
        <w:pStyle w:val="ListBullet"/>
        <w:ind w:left="227"/>
        <w:spacing w:before="0" w:after="30"/>
      </w:pPr>
      <w:r>
        <w:rPr>
          <w:color w:val="000000"/>
          <w:sz w:val="20"/>
        </w:rPr>
        <w:t>Performance monitoring and reporting;</w:t>
      </w:r>
    </w:p>
    <w:p>
      <w:pPr>
        <w:pStyle w:val="ListBullet"/>
        <w:ind w:left="227"/>
        <w:spacing w:before="0" w:after="30"/>
      </w:pPr>
      <w:r>
        <w:rPr>
          <w:color w:val="000000"/>
          <w:sz w:val="20"/>
        </w:rPr>
        <w:t>Priority response for service calls.</w:t>
      </w:r>
    </w:p>
    <w:p>
      <w:pPr>
        <w:ind w:left="0"/>
        <w:spacing w:before="0" w:after="50"/>
      </w:pPr>
      <w:r>
        <w:rPr>
          <w:color w:val="000000"/>
          <w:sz w:val="20"/>
        </w:rPr>
        <w:t>Maintenance packages are quoted separately and are not included in the Contract Price.</w:t>
      </w:r>
    </w:p>
    <w:p>
      <w:pPr>
        <w:spacing w:before="100" w:after="40"/>
      </w:pPr>
      <w:r>
        <w:rPr>
          <w:b/>
          <w:color w:val="1A365D"/>
          <w:sz w:val="21"/>
        </w:rPr>
        <w:t>7.2  Client Self-Maintenance</w:t>
      </w:r>
    </w:p>
    <w:p>
      <w:pPr>
        <w:ind w:left="0"/>
        <w:spacing w:before="0" w:after="50"/>
      </w:pPr>
      <w:r>
        <w:rPr>
          <w:color w:val="000000"/>
          <w:sz w:val="20"/>
        </w:rPr>
        <w:t>The Client should:</w:t>
      </w:r>
    </w:p>
    <w:p>
      <w:pPr>
        <w:pStyle w:val="ListBullet"/>
        <w:ind w:left="227"/>
        <w:spacing w:before="0" w:after="30"/>
      </w:pPr>
      <w:r>
        <w:rPr>
          <w:color w:val="000000"/>
          <w:sz w:val="20"/>
        </w:rPr>
        <w:t>Keep panels reasonably clean and free from obstruction;</w:t>
      </w:r>
    </w:p>
    <w:p>
      <w:pPr>
        <w:pStyle w:val="ListBullet"/>
        <w:ind w:left="227"/>
        <w:spacing w:before="0" w:after="30"/>
      </w:pPr>
      <w:r>
        <w:rPr>
          <w:color w:val="000000"/>
          <w:sz w:val="20"/>
        </w:rPr>
        <w:t>Monitor system performance via the Huawei FusionSolar monitoring application;</w:t>
      </w:r>
    </w:p>
    <w:p>
      <w:pPr>
        <w:pStyle w:val="ListBullet"/>
        <w:ind w:left="227"/>
        <w:spacing w:before="0" w:after="30"/>
      </w:pPr>
      <w:r>
        <w:rPr>
          <w:color w:val="000000"/>
          <w:sz w:val="20"/>
        </w:rPr>
        <w:t>Report any faults, alarms, or unusual readings promptly;</w:t>
      </w:r>
    </w:p>
    <w:p>
      <w:pPr>
        <w:pStyle w:val="ListBullet"/>
        <w:ind w:left="227"/>
        <w:spacing w:before="0" w:after="30"/>
      </w:pPr>
      <w:r>
        <w:rPr>
          <w:color w:val="000000"/>
          <w:sz w:val="20"/>
        </w:rPr>
        <w:t>Not install new structures that shade the panels.</w:t>
      </w:r>
    </w:p>
    <w:p>
      <w:pPr>
        <w:pBdr>
          <w:bottom w:val="single" w:sz="6" w:color="1A365D"/>
        </w:pBdr>
        <w:spacing w:before="160" w:after="60"/>
      </w:pPr>
      <w:r>
        <w:rPr>
          <w:b/>
          <w:color w:val="C9A432"/>
          <w:sz w:val="26"/>
        </w:rPr>
        <w:t>8.  NET METERING TERMS</w:t>
      </w:r>
    </w:p>
    <w:p>
      <w:pPr>
        <w:spacing w:before="100" w:after="40"/>
      </w:pPr>
      <w:r>
        <w:rPr>
          <w:b/>
          <w:color w:val="1A365D"/>
          <w:sz w:val="21"/>
        </w:rPr>
        <w:t>8.1  EAC Net Metering Contract</w:t>
      </w:r>
    </w:p>
    <w:p>
      <w:pPr>
        <w:ind w:left="0"/>
        <w:spacing w:before="0" w:after="50"/>
      </w:pPr>
      <w:r>
        <w:rPr>
          <w:color w:val="000000"/>
          <w:sz w:val="20"/>
        </w:rPr>
        <w:t>Upon grid connection approval, the Client will enter into a Net Metering contract directly with EAC for a period of fifteen (15) years (residential category), in accordance with the EAC/CERA Net Metering framework applicable at the time of connection.</w:t>
      </w:r>
    </w:p>
    <w:p>
      <w:pPr>
        <w:spacing w:before="100" w:after="40"/>
      </w:pPr>
      <w:r>
        <w:rPr>
          <w:b/>
          <w:color w:val="1A365D"/>
          <w:sz w:val="21"/>
        </w:rPr>
        <w:t>8.2  How Net Metering Works</w:t>
      </w:r>
    </w:p>
    <w:p>
      <w:pPr>
        <w:ind w:left="0"/>
        <w:spacing w:before="0" w:after="50"/>
      </w:pPr>
      <w:r>
        <w:rPr>
          <w:color w:val="000000"/>
          <w:sz w:val="20"/>
        </w:rPr>
        <w:t>Under the EAC Net Metering framework, electricity produced by the photovoltaic system is first consumed on-site. Surplus electricity exported to the EAC distribution network is credited against the Client's import consumption on a kilowatt-hour-for-kilowatt-hour basis at the full retail tariff applicable to the Client's supply category:</w:t>
      </w:r>
    </w:p>
    <w:p>
      <w:pPr>
        <w:pStyle w:val="ListBullet"/>
        <w:ind w:left="227"/>
        <w:spacing w:before="0" w:after="30"/>
      </w:pPr>
      <w:r>
        <w:rPr>
          <w:color w:val="000000"/>
          <w:sz w:val="20"/>
        </w:rPr>
        <w:t>Electricity imported from the grid is charged at the standard EAC retail tariff;</w:t>
      </w:r>
    </w:p>
    <w:p>
      <w:pPr>
        <w:pStyle w:val="ListBullet"/>
        <w:ind w:left="227"/>
        <w:spacing w:before="0" w:after="30"/>
      </w:pPr>
      <w:r>
        <w:rPr>
          <w:color w:val="000000"/>
          <w:sz w:val="20"/>
        </w:rPr>
        <w:t>Electricity exported to the grid offsets import consumption kWh-for-kWh at the same retail tariff rate — this is the key distinction of Net Metering from Net Billing;</w:t>
      </w:r>
    </w:p>
    <w:p>
      <w:pPr>
        <w:pStyle w:val="ListBullet"/>
        <w:ind w:left="227"/>
        <w:spacing w:before="0" w:after="30"/>
      </w:pPr>
      <w:r>
        <w:rPr>
          <w:color w:val="000000"/>
          <w:sz w:val="20"/>
        </w:rPr>
        <w:t>Net Metering credits are applied against the Client's EAC bill at the end of each two-month billing period;</w:t>
      </w:r>
    </w:p>
    <w:p>
      <w:pPr>
        <w:pStyle w:val="ListBullet"/>
        <w:ind w:left="227"/>
        <w:spacing w:before="0" w:after="30"/>
      </w:pPr>
      <w:r>
        <w:rPr>
          <w:color w:val="000000"/>
          <w:sz w:val="20"/>
        </w:rPr>
        <w:t>Unused credits carry forward and are valid for thirty-six (36) months;</w:t>
      </w:r>
    </w:p>
    <w:p>
      <w:pPr>
        <w:pStyle w:val="ListBullet"/>
        <w:ind w:left="227"/>
        <w:spacing w:before="0" w:after="30"/>
      </w:pPr>
      <w:r>
        <w:rPr>
          <w:color w:val="000000"/>
          <w:sz w:val="20"/>
        </w:rPr>
        <w:t>Credits are cleared every three (3) years; any excess credits not offset against consumption are not compensated in cash after the clearing period.</w:t>
      </w:r>
    </w:p>
    <w:p>
      <w:pPr>
        <w:spacing w:before="100" w:after="40"/>
      </w:pPr>
      <w:r>
        <w:rPr>
          <w:b/>
          <w:color w:val="1A365D"/>
          <w:sz w:val="21"/>
        </w:rPr>
        <w:t>8.3  Annual Net Metering Fee</w:t>
      </w:r>
    </w:p>
    <w:p>
      <w:pPr>
        <w:ind w:left="0"/>
        <w:spacing w:before="0" w:after="50"/>
      </w:pPr>
      <w:r>
        <w:rPr>
          <w:color w:val="000000"/>
          <w:sz w:val="20"/>
        </w:rPr>
        <w:t>The Client shall pay EAC an annual Net Metering administrative fee of €47.23 per kWp installed + VAT (19%) per year. For this system (9.44 kWp), the indicative annual fee is approximately €447.93 + VAT = €532.03 per year. This fee is set by EAC/CERA and is subject to regulatory adjustment.</w:t>
      </w:r>
    </w:p>
    <w:p>
      <w:pPr>
        <w:spacing w:before="100" w:after="40"/>
      </w:pPr>
      <w:r>
        <w:rPr>
          <w:b/>
          <w:color w:val="1A365D"/>
          <w:sz w:val="21"/>
        </w:rPr>
        <w:t>8.4  EAC Tariff Changes</w:t>
      </w:r>
    </w:p>
    <w:p>
      <w:pPr>
        <w:ind w:left="0"/>
        <w:spacing w:before="0" w:after="50"/>
      </w:pPr>
      <w:r>
        <w:rPr>
          <w:color w:val="000000"/>
          <w:sz w:val="20"/>
        </w:rPr>
        <w:t>EAC/CERA tariffs, fees, and Net Metering scheme conditions are subject to regulatory change. The Contractor has no control over and accepts no liability for any future adjustments to Net Metering tariffs, credit rates, scheme duration, or eligibility conditions enacted by EAC or CERA after the contract date.</w:t>
      </w:r>
    </w:p>
    <w:p>
      <w:pPr>
        <w:pBdr>
          <w:bottom w:val="single" w:sz="6" w:color="1A365D"/>
        </w:pBdr>
        <w:spacing w:before="160" w:after="60"/>
      </w:pPr>
      <w:r>
        <w:rPr>
          <w:b/>
          <w:color w:val="C9A432"/>
          <w:sz w:val="26"/>
        </w:rPr>
        <w:t>9.  INSURANCE AND LIABILITY</w:t>
      </w:r>
    </w:p>
    <w:p>
      <w:pPr>
        <w:spacing w:before="100" w:after="40"/>
      </w:pPr>
      <w:r>
        <w:rPr>
          <w:b/>
          <w:color w:val="1A365D"/>
          <w:sz w:val="21"/>
        </w:rPr>
        <w:t>9.1  Contractor Insurance</w:t>
      </w:r>
    </w:p>
    <w:p>
      <w:pPr>
        <w:ind w:left="0"/>
        <w:spacing w:before="0" w:after="50"/>
      </w:pPr>
      <w:r>
        <w:rPr>
          <w:color w:val="000000"/>
          <w:sz w:val="20"/>
        </w:rPr>
        <w:t>The Contractor maintains the following insurance policies:</w:t>
      </w:r>
    </w:p>
    <w:p>
      <w:pPr>
        <w:pStyle w:val="ListBullet"/>
        <w:ind w:left="227"/>
        <w:spacing w:before="0" w:after="30"/>
      </w:pPr>
      <w:r>
        <w:rPr>
          <w:color w:val="000000"/>
          <w:sz w:val="20"/>
        </w:rPr>
        <w:t>Professional Liability (Errors &amp; Omissions) Insurance;</w:t>
      </w:r>
    </w:p>
    <w:p>
      <w:pPr>
        <w:pStyle w:val="ListBullet"/>
        <w:ind w:left="227"/>
        <w:spacing w:before="0" w:after="30"/>
      </w:pPr>
      <w:r>
        <w:rPr>
          <w:color w:val="000000"/>
          <w:sz w:val="20"/>
        </w:rPr>
        <w:t>Public / General Liability Insurance;</w:t>
      </w:r>
    </w:p>
    <w:p>
      <w:pPr>
        <w:pStyle w:val="ListBullet"/>
        <w:ind w:left="227"/>
        <w:spacing w:before="0" w:after="30"/>
      </w:pPr>
      <w:r>
        <w:rPr>
          <w:color w:val="000000"/>
          <w:sz w:val="20"/>
        </w:rPr>
        <w:t>Workers' Compensation / Employer's Liability Insurance.</w:t>
      </w:r>
    </w:p>
    <w:p>
      <w:pPr>
        <w:spacing w:before="100" w:after="40"/>
      </w:pPr>
      <w:r>
        <w:rPr>
          <w:b/>
          <w:color w:val="1A365D"/>
          <w:sz w:val="21"/>
        </w:rPr>
        <w:t>9.2  Limitation of Liability</w:t>
      </w:r>
    </w:p>
    <w:p>
      <w:pPr>
        <w:ind w:left="0"/>
        <w:spacing w:before="0" w:after="50"/>
      </w:pPr>
      <w:r>
        <w:rPr>
          <w:color w:val="000000"/>
          <w:sz w:val="20"/>
        </w:rPr>
        <w:t>Except for fraud, wilful misconduct, or death or personal injury caused by the Contractor's negligence, the Contractor's total aggregate liability under this Contract shall not exceed the total Contract Price paid by the Client. Neither Party shall be liable for indirect, consequential, or loss-of-profit damages, except as required by mandatory consumer protection law.</w:t>
      </w:r>
    </w:p>
    <w:p>
      <w:pPr>
        <w:spacing w:before="100" w:after="40"/>
      </w:pPr>
      <w:r>
        <w:rPr>
          <w:b/>
          <w:color w:val="1A365D"/>
          <w:sz w:val="21"/>
        </w:rPr>
        <w:t>9.3  Indemnification</w:t>
      </w:r>
    </w:p>
    <w:p>
      <w:pPr>
        <w:ind w:left="0"/>
        <w:spacing w:before="0" w:after="50"/>
      </w:pPr>
      <w:r>
        <w:rPr>
          <w:color w:val="000000"/>
          <w:sz w:val="20"/>
        </w:rPr>
        <w:t>Each Party shall indemnify the other against third-party claims arising directly from their own negligence or wilful misconduct in the performance of their respective obligations under this Contract.</w:t>
      </w:r>
    </w:p>
    <w:p>
      <w:pPr>
        <w:pBdr>
          <w:bottom w:val="single" w:sz="6" w:color="1A365D"/>
        </w:pBdr>
        <w:spacing w:before="160" w:after="60"/>
      </w:pPr>
      <w:r>
        <w:rPr>
          <w:b/>
          <w:color w:val="C9A432"/>
          <w:sz w:val="26"/>
        </w:rPr>
        <w:t>10.  RIGHT OF WITHDRAWAL AND CANCELLATION</w:t>
      </w:r>
    </w:p>
    <w:p>
      <w:pPr>
        <w:spacing w:before="100" w:after="40"/>
      </w:pPr>
      <w:r>
        <w:rPr>
          <w:b/>
          <w:color w:val="1A365D"/>
          <w:sz w:val="21"/>
        </w:rPr>
        <w:t>10.1  14-Day Right of Withdrawal (Statutory — Off-Premises Contracts)</w:t>
      </w:r>
    </w:p>
    <w:tbl>
      <w:tblPr>
        <w:tblW w:type="auto" w:w="0"/>
        <w:jc w:val="left"/>
        <w:tblLook w:firstColumn="1" w:firstRow="1" w:lastColumn="0" w:lastRow="0" w:noHBand="0" w:noVBand="1" w:val="04A0"/>
      </w:tblPr>
      <w:tblGrid>
        <w:gridCol w:w="9406"/>
      </w:tblGrid>
      <w:tr>
        <w:tc>
          <w:tcPr>
            <w:tcW w:type="dxa" w:w="9360"/>
            <w:shd w:val="clear" w:color="auto" w:fill="E8F4FD"/>
            <w:tcBorders>
              <w:top w:val="single" w:sz="12" w:color="1A365D"/>
              <w:bottom w:val="single" w:sz="12" w:color="1A365D"/>
              <w:left w:val="single" w:sz="12" w:color="1A365D"/>
              <w:right w:val="single" w:sz="12" w:color="1A365D"/>
            </w:tcBorders>
          </w:tcPr>
          <w:p>
            <w:pPr>
              <w:spacing w:before="60" w:after="60"/>
            </w:pPr>
            <w:r>
              <w:rPr>
                <w:color w:val="000000"/>
                <w:sz w:val="19"/>
              </w:rPr>
              <w:t>STATUTORY RIGHT: Under Cyprus Law 133(I)/2013 implementing EU Consumer Rights Directive 2011/83/EU, if this Contract is concluded at the Client's premises or any location other than the Contractor's business premises (an off-premises contract), the Client has a statutory right to withdraw from this Contract without giving any reason within FOURTEEN (14) CALENDAR DAYS from the date of signing.</w:t>
              <w:br/>
              <w:br/>
              <w:t>To exercise this right, the Client must notify the Contractor before the 14-day period expires (email to office@lighthief.com is acceptable).</w:t>
              <w:br/>
              <w:br/>
              <w:t>Effect of withdrawal: The Contractor shall refund all payments received within fourteen (14) days of receiving the withdrawal notice, subject to §10.1.1 below.</w:t>
            </w:r>
          </w:p>
        </w:tc>
      </w:tr>
    </w:tbl>
    <w:p/>
    <w:p>
      <w:pPr>
        <w:spacing w:before="100" w:after="40"/>
      </w:pPr>
      <w:r>
        <w:rPr>
          <w:b/>
          <w:color w:val="1A365D"/>
          <w:sz w:val="21"/>
        </w:rPr>
        <w:t>10.1.1  Early Start and Partial Withdrawal Refund</w:t>
      </w:r>
    </w:p>
    <w:p>
      <w:pPr>
        <w:ind w:left="0"/>
        <w:spacing w:before="0" w:after="50"/>
      </w:pPr>
      <w:r>
        <w:rPr>
          <w:color w:val="000000"/>
          <w:sz w:val="20"/>
        </w:rPr>
        <w:t>If the Client expressly requests that works commence before the 14-day withdrawal period expires, and the Client subsequently withdraws, the Client shall pay a proportionate amount for services actually performed up to the point of withdrawal.</w:t>
      </w:r>
    </w:p>
    <w:p>
      <w:pPr>
        <w:spacing w:before="100" w:after="40"/>
      </w:pPr>
      <w:r>
        <w:rPr>
          <w:b/>
          <w:color w:val="1A365D"/>
          <w:sz w:val="21"/>
        </w:rPr>
        <w:t>10.2  Cancellation After the 14-Day Period</w:t>
      </w:r>
    </w:p>
    <w:p>
      <w:pPr>
        <w:ind w:left="0"/>
        <w:spacing w:before="0" w:after="50"/>
      </w:pPr>
      <w:r>
        <w:rPr>
          <w:color w:val="000000"/>
          <w:sz w:val="20"/>
        </w:rPr>
        <w:t>If the Client cancels this Contract after the 14-day withdrawal period has expired, the following cancellation charges apply:</w:t>
      </w:r>
    </w:p>
    <w:tbl>
      <w:tblPr>
        <w:tblStyle w:val="TableGrid"/>
        <w:tblW w:type="auto" w:w="0"/>
        <w:jc w:val="left"/>
        <w:tblLook w:firstColumn="1" w:firstRow="1" w:lastColumn="0" w:lastRow="0" w:noHBand="0" w:noVBand="1" w:val="04A0"/>
      </w:tblPr>
      <w:tblGrid>
        <w:gridCol w:w="4703"/>
        <w:gridCol w:w="4703"/>
      </w:tblGrid>
      <w:tr>
        <w:tc>
          <w:tcPr>
            <w:tcW w:type="dxa" w:w="4752"/>
            <w:shd w:val="clear" w:color="auto" w:fill="1A365D"/>
          </w:tcPr>
          <w:p>
            <w:pPr>
              <w:spacing w:before="40" w:after="40"/>
            </w:pPr>
            <w:r>
              <w:rPr>
                <w:b/>
                <w:color w:val="FFFFFF"/>
                <w:sz w:val="19"/>
              </w:rPr>
              <w:t>Stage of Cancellation</w:t>
            </w:r>
          </w:p>
        </w:tc>
        <w:tc>
          <w:tcPr>
            <w:tcW w:type="dxa" w:w="4608"/>
            <w:shd w:val="clear" w:color="auto" w:fill="1A365D"/>
          </w:tcPr>
          <w:p>
            <w:pPr>
              <w:spacing w:before="40" w:after="40"/>
            </w:pPr>
            <w:r>
              <w:rPr>
                <w:b/>
                <w:color w:val="FFFFFF"/>
                <w:sz w:val="19"/>
              </w:rPr>
              <w:t>Cancellation Charge</w:t>
            </w:r>
          </w:p>
        </w:tc>
      </w:tr>
      <w:tr>
        <w:tc>
          <w:tcPr>
            <w:tcW w:type="dxa" w:w="4752"/>
            <w:shd w:val="clear" w:color="auto" w:fill="F5F7FA"/>
          </w:tcPr>
          <w:p>
            <w:pPr>
              <w:spacing w:before="40" w:after="40"/>
            </w:pPr>
            <w:r>
              <w:rPr>
                <w:b/>
                <w:color w:val="1A365D"/>
                <w:sz w:val="19"/>
              </w:rPr>
              <w:t>After 14-day period, before installation commences</w:t>
            </w:r>
          </w:p>
        </w:tc>
        <w:tc>
          <w:tcPr>
            <w:tcW w:type="dxa" w:w="4608"/>
          </w:tcPr>
          <w:p>
            <w:pPr>
              <w:spacing w:before="40" w:after="40"/>
            </w:pPr>
            <w:r>
              <w:rPr>
                <w:color w:val="000000"/>
                <w:sz w:val="19"/>
              </w:rPr>
              <w:t>10% of Contract Price (administration and design costs)</w:t>
            </w:r>
          </w:p>
        </w:tc>
      </w:tr>
      <w:tr>
        <w:tc>
          <w:tcPr>
            <w:tcW w:type="dxa" w:w="4752"/>
            <w:shd w:val="clear" w:color="auto" w:fill="F5F7FA"/>
          </w:tcPr>
          <w:p>
            <w:pPr>
              <w:spacing w:before="40" w:after="40"/>
            </w:pPr>
            <w:r>
              <w:rPr>
                <w:b/>
                <w:color w:val="1A365D"/>
                <w:sz w:val="19"/>
              </w:rPr>
              <w:t>After installation commences, before completion</w:t>
            </w:r>
          </w:p>
        </w:tc>
        <w:tc>
          <w:tcPr>
            <w:tcW w:type="dxa" w:w="4608"/>
          </w:tcPr>
          <w:p>
            <w:pPr>
              <w:spacing w:before="40" w:after="40"/>
            </w:pPr>
            <w:r>
              <w:rPr>
                <w:color w:val="000000"/>
                <w:sz w:val="19"/>
              </w:rPr>
              <w:t>30% of Contract Price (engineering, material procurement costs)</w:t>
            </w:r>
          </w:p>
        </w:tc>
      </w:tr>
      <w:tr>
        <w:tc>
          <w:tcPr>
            <w:tcW w:type="dxa" w:w="4752"/>
            <w:shd w:val="clear" w:color="auto" w:fill="F5F7FA"/>
          </w:tcPr>
          <w:p>
            <w:pPr>
              <w:spacing w:before="40" w:after="40"/>
            </w:pPr>
            <w:r>
              <w:rPr>
                <w:b/>
                <w:color w:val="1A365D"/>
                <w:sz w:val="19"/>
              </w:rPr>
              <w:t>After installation completed</w:t>
            </w:r>
          </w:p>
        </w:tc>
        <w:tc>
          <w:tcPr>
            <w:tcW w:type="dxa" w:w="4608"/>
          </w:tcPr>
          <w:p>
            <w:pPr>
              <w:spacing w:before="40" w:after="40"/>
            </w:pPr>
            <w:r>
              <w:rPr>
                <w:color w:val="000000"/>
                <w:sz w:val="19"/>
              </w:rPr>
              <w:t>No refund — full Contract Price is due</w:t>
            </w:r>
          </w:p>
        </w:tc>
      </w:tr>
    </w:tbl>
    <w:p/>
    <w:p>
      <w:pPr>
        <w:spacing w:before="100" w:after="40"/>
      </w:pPr>
      <w:r>
        <w:rPr>
          <w:b/>
          <w:color w:val="1A365D"/>
          <w:sz w:val="21"/>
        </w:rPr>
        <w:t>10.3  Contractor Termination Rights</w:t>
      </w:r>
    </w:p>
    <w:p>
      <w:pPr>
        <w:ind w:left="0"/>
        <w:spacing w:before="0" w:after="50"/>
      </w:pPr>
      <w:r>
        <w:rPr>
          <w:color w:val="000000"/>
          <w:sz w:val="20"/>
        </w:rPr>
        <w:t>The Contractor may terminate this Contract by written notice for:</w:t>
      </w:r>
    </w:p>
    <w:p>
      <w:pPr>
        <w:pStyle w:val="ListBullet"/>
        <w:ind w:left="227"/>
        <w:spacing w:before="0" w:after="30"/>
      </w:pPr>
      <w:r>
        <w:rPr>
          <w:color w:val="000000"/>
          <w:sz w:val="20"/>
        </w:rPr>
        <w:t>Client non-payment following thirty (30) days' written notice;</w:t>
      </w:r>
    </w:p>
    <w:p>
      <w:pPr>
        <w:pStyle w:val="ListBullet"/>
        <w:ind w:left="227"/>
        <w:spacing w:before="0" w:after="30"/>
      </w:pPr>
      <w:r>
        <w:rPr>
          <w:color w:val="000000"/>
          <w:sz w:val="20"/>
        </w:rPr>
        <w:t>Material breach of Client obligations that remains unremedied after fourteen (14) days' written notice;</w:t>
      </w:r>
    </w:p>
    <w:p>
      <w:pPr>
        <w:pStyle w:val="ListBullet"/>
        <w:ind w:left="227"/>
        <w:spacing w:before="0" w:after="30"/>
      </w:pPr>
      <w:r>
        <w:rPr>
          <w:color w:val="000000"/>
          <w:sz w:val="20"/>
        </w:rPr>
        <w:t>Discovery of unsafe site conditions that cannot be resolved within a reasonable timeframe.</w:t>
      </w:r>
    </w:p>
    <w:p>
      <w:pPr>
        <w:pBdr>
          <w:bottom w:val="single" w:sz="6" w:color="1A365D"/>
        </w:pBdr>
        <w:spacing w:before="160" w:after="60"/>
      </w:pPr>
      <w:r>
        <w:rPr>
          <w:b/>
          <w:color w:val="C9A432"/>
          <w:sz w:val="26"/>
        </w:rPr>
        <w:t>11.  DISPUTE RESOLUTION</w:t>
      </w:r>
    </w:p>
    <w:p>
      <w:pPr>
        <w:spacing w:before="100" w:after="40"/>
      </w:pPr>
      <w:r>
        <w:rPr>
          <w:b/>
          <w:color w:val="1A365D"/>
          <w:sz w:val="21"/>
        </w:rPr>
        <w:t>11.1  Good-Faith Negotiation</w:t>
      </w:r>
    </w:p>
    <w:p>
      <w:pPr>
        <w:ind w:left="0"/>
        <w:spacing w:before="0" w:after="50"/>
      </w:pPr>
      <w:r>
        <w:rPr>
          <w:color w:val="000000"/>
          <w:sz w:val="20"/>
        </w:rPr>
        <w:t>The Parties shall first attempt to resolve any dispute through good-faith negotiation within thirty (30) days of one Party giving written notice of the dispute to the other.</w:t>
      </w:r>
    </w:p>
    <w:p>
      <w:pPr>
        <w:spacing w:before="100" w:after="40"/>
      </w:pPr>
      <w:r>
        <w:rPr>
          <w:b/>
          <w:color w:val="1A365D"/>
          <w:sz w:val="21"/>
        </w:rPr>
        <w:t>11.2  Mediation and Consumer Protection</w:t>
      </w:r>
    </w:p>
    <w:p>
      <w:pPr>
        <w:ind w:left="0"/>
        <w:spacing w:before="0" w:after="50"/>
      </w:pPr>
      <w:r>
        <w:rPr>
          <w:color w:val="000000"/>
          <w:sz w:val="20"/>
        </w:rPr>
        <w:t>If negotiation fails, the Parties shall attempt mediation before commencing legal proceedings. The Client may also contact the following authorities for assistance:</w:t>
      </w:r>
    </w:p>
    <w:p>
      <w:pPr>
        <w:pStyle w:val="ListBullet"/>
        <w:ind w:left="227"/>
        <w:spacing w:before="0" w:after="30"/>
      </w:pPr>
      <w:r>
        <w:rPr>
          <w:color w:val="000000"/>
          <w:sz w:val="20"/>
        </w:rPr>
        <w:t>Cyprus Consumer Protection Service: tel. 1429 (free consumer helpline);</w:t>
      </w:r>
    </w:p>
    <w:p>
      <w:pPr>
        <w:pStyle w:val="ListBullet"/>
        <w:ind w:left="227"/>
        <w:spacing w:before="0" w:after="30"/>
      </w:pPr>
      <w:r>
        <w:rPr>
          <w:color w:val="000000"/>
          <w:sz w:val="20"/>
        </w:rPr>
        <w:t>Cyprus Energy Regulatory Authority (CERA): +357 22 666 363;</w:t>
      </w:r>
    </w:p>
    <w:p>
      <w:pPr>
        <w:pStyle w:val="ListBullet"/>
        <w:ind w:left="227"/>
        <w:spacing w:before="0" w:after="30"/>
      </w:pPr>
      <w:r>
        <w:rPr>
          <w:color w:val="000000"/>
          <w:sz w:val="20"/>
        </w:rPr>
        <w:t>EU Online Dispute Resolution: https://ec.europa.eu/consumers/odr/.</w:t>
      </w:r>
    </w:p>
    <w:p>
      <w:pPr>
        <w:spacing w:before="100" w:after="40"/>
      </w:pPr>
      <w:r>
        <w:rPr>
          <w:b/>
          <w:color w:val="1A365D"/>
          <w:sz w:val="21"/>
        </w:rPr>
        <w:t>11.3  Legal Proceedings</w:t>
      </w:r>
    </w:p>
    <w:p>
      <w:pPr>
        <w:ind w:left="0"/>
        <w:spacing w:before="0" w:after="50"/>
      </w:pPr>
      <w:r>
        <w:rPr>
          <w:color w:val="000000"/>
          <w:sz w:val="20"/>
        </w:rPr>
        <w:t>Any dispute not resolved by negotiation or mediation shall be subject to the exclusive jurisdiction of the courts of the Republic of Cyprus.</w:t>
      </w:r>
    </w:p>
    <w:p>
      <w:pPr>
        <w:pBdr>
          <w:bottom w:val="single" w:sz="6" w:color="1A365D"/>
        </w:pBdr>
        <w:spacing w:before="160" w:after="60"/>
      </w:pPr>
      <w:r>
        <w:rPr>
          <w:b/>
          <w:color w:val="C9A432"/>
          <w:sz w:val="26"/>
        </w:rPr>
        <w:t>12.  DATA PROTECTION</w:t>
      </w:r>
    </w:p>
    <w:p>
      <w:pPr>
        <w:ind w:left="0"/>
        <w:spacing w:before="0" w:after="50"/>
      </w:pPr>
      <w:r>
        <w:rPr>
          <w:color w:val="000000"/>
          <w:sz w:val="20"/>
        </w:rPr>
        <w:t>The Contractor shall comply with the General Data Protection Regulation (EU) 2016/679 (GDPR) and applicable Cyprus data protection laws regarding any personal data collected in connection with this Contract. Personal data will be processed solely for the purpose of performing this Contract and will not be disclosed to third parties without the Client's consent, except as required by law. The Client may request access to, correction, or deletion of their personal data at any time by contacting office@lighthief.com.</w:t>
      </w:r>
    </w:p>
    <w:p>
      <w:pPr>
        <w:pBdr>
          <w:bottom w:val="single" w:sz="6" w:color="1A365D"/>
        </w:pBdr>
        <w:spacing w:before="160" w:after="60"/>
      </w:pPr>
      <w:r>
        <w:rPr>
          <w:b/>
          <w:color w:val="C9A432"/>
          <w:sz w:val="26"/>
        </w:rPr>
        <w:t>13.  GENERAL PROVISIONS</w:t>
      </w:r>
    </w:p>
    <w:p>
      <w:pPr>
        <w:spacing w:before="100" w:after="40"/>
      </w:pPr>
      <w:r>
        <w:rPr>
          <w:b/>
          <w:color w:val="1A365D"/>
          <w:sz w:val="21"/>
        </w:rPr>
        <w:t>13.1  Entire Agreement</w:t>
      </w:r>
    </w:p>
    <w:p>
      <w:pPr>
        <w:ind w:left="0"/>
        <w:spacing w:before="0" w:after="50"/>
      </w:pPr>
      <w:r>
        <w:rPr>
          <w:color w:val="000000"/>
          <w:sz w:val="20"/>
        </w:rPr>
        <w:t>This Contract constitutes the entire agreement between the Parties regarding its subject matter and supersedes all prior negotiations, representations, or agreements.</w:t>
      </w:r>
    </w:p>
    <w:p>
      <w:pPr>
        <w:spacing w:before="100" w:after="40"/>
      </w:pPr>
      <w:r>
        <w:rPr>
          <w:b/>
          <w:color w:val="1A365D"/>
          <w:sz w:val="21"/>
        </w:rPr>
        <w:t>13.2  Amendments</w:t>
      </w:r>
    </w:p>
    <w:p>
      <w:pPr>
        <w:ind w:left="0"/>
        <w:spacing w:before="0" w:after="50"/>
      </w:pPr>
      <w:r>
        <w:rPr>
          <w:color w:val="000000"/>
          <w:sz w:val="20"/>
        </w:rPr>
        <w:t>Any amendment must be in writing and signed by authorised representatives of both Parties.</w:t>
      </w:r>
    </w:p>
    <w:p>
      <w:pPr>
        <w:spacing w:before="100" w:after="40"/>
      </w:pPr>
      <w:r>
        <w:rPr>
          <w:b/>
          <w:color w:val="1A365D"/>
          <w:sz w:val="21"/>
        </w:rPr>
        <w:t>13.3  Governing Law</w:t>
      </w:r>
    </w:p>
    <w:p>
      <w:pPr>
        <w:ind w:left="0"/>
        <w:spacing w:before="0" w:after="50"/>
      </w:pPr>
      <w:r>
        <w:rPr>
          <w:color w:val="000000"/>
          <w:sz w:val="20"/>
        </w:rPr>
        <w:t>This Contract is governed by the laws of the Republic of Cyprus.</w:t>
      </w:r>
    </w:p>
    <w:p>
      <w:pPr>
        <w:spacing w:before="100" w:after="40"/>
      </w:pPr>
      <w:r>
        <w:rPr>
          <w:b/>
          <w:color w:val="1A365D"/>
          <w:sz w:val="21"/>
        </w:rPr>
        <w:t>13.4  Language</w:t>
      </w:r>
    </w:p>
    <w:p>
      <w:pPr>
        <w:ind w:left="0"/>
        <w:spacing w:before="0" w:after="50"/>
      </w:pPr>
      <w:r>
        <w:rPr>
          <w:color w:val="000000"/>
          <w:sz w:val="20"/>
        </w:rPr>
        <w:t>This Contract is executed in English. In the event of any inconsistency with a translated version, the English version shall prevail.</w:t>
      </w:r>
    </w:p>
    <w:p>
      <w:pPr>
        <w:spacing w:before="100" w:after="40"/>
      </w:pPr>
      <w:r>
        <w:rPr>
          <w:b/>
          <w:color w:val="1A365D"/>
          <w:sz w:val="21"/>
        </w:rPr>
        <w:t>13.5  Severability</w:t>
      </w:r>
    </w:p>
    <w:p>
      <w:pPr>
        <w:ind w:left="0"/>
        <w:spacing w:before="0" w:after="50"/>
      </w:pPr>
      <w:r>
        <w:rPr>
          <w:color w:val="000000"/>
          <w:sz w:val="20"/>
        </w:rPr>
        <w:t>If any provision is found invalid or unenforceable, the remaining provisions continue in full force and effect.</w:t>
      </w:r>
    </w:p>
    <w:p>
      <w:pPr>
        <w:spacing w:before="100" w:after="40"/>
      </w:pPr>
      <w:r>
        <w:rPr>
          <w:b/>
          <w:color w:val="1A365D"/>
          <w:sz w:val="21"/>
        </w:rPr>
        <w:t>13.6  Force Majeure</w:t>
      </w:r>
    </w:p>
    <w:p>
      <w:pPr>
        <w:ind w:left="0"/>
        <w:spacing w:before="0" w:after="50"/>
      </w:pPr>
      <w:r>
        <w:rPr>
          <w:color w:val="000000"/>
          <w:sz w:val="20"/>
        </w:rPr>
        <w:t>Neither Party shall be liable for delays or failure to perform obligations due to circumstances beyond their reasonable control, including acts of God, war, terrorism, pandemic, governmental action, or grid authority decisions, provided the affected Party gives prompt written notice and uses reasonable efforts to mitigate the impact.</w:t>
      </w:r>
    </w:p>
    <w:p>
      <w:pPr>
        <w:spacing w:before="100" w:after="40"/>
      </w:pPr>
      <w:r>
        <w:rPr>
          <w:b/>
          <w:color w:val="1A365D"/>
          <w:sz w:val="21"/>
        </w:rPr>
        <w:t>13.7  Assignment</w:t>
      </w:r>
    </w:p>
    <w:p>
      <w:pPr>
        <w:ind w:left="0"/>
        <w:spacing w:before="0" w:after="50"/>
      </w:pPr>
      <w:r>
        <w:rPr>
          <w:color w:val="000000"/>
          <w:sz w:val="20"/>
        </w:rPr>
        <w:t>Neither Party may assign this Contract without the prior written consent of the other.</w:t>
      </w:r>
    </w:p>
    <w:p>
      <w:pPr>
        <w:spacing w:before="100" w:after="40"/>
      </w:pPr>
      <w:r>
        <w:rPr>
          <w:b/>
          <w:color w:val="1A365D"/>
          <w:sz w:val="21"/>
        </w:rPr>
        <w:t>13.8  Notices</w:t>
      </w:r>
    </w:p>
    <w:p>
      <w:pPr>
        <w:ind w:left="0"/>
        <w:spacing w:before="0" w:after="50"/>
      </w:pPr>
      <w:r>
        <w:rPr>
          <w:color w:val="000000"/>
          <w:sz w:val="20"/>
        </w:rPr>
        <w:t>All formal notices under this Contract shall be in writing and sent by email (with delivery confirmation) or by registered post to the addresses in the Parties section. Email notices are deemed received on the next Business Day.</w:t>
      </w:r>
    </w:p>
    <w:p>
      <w:pPr>
        <w:pBdr>
          <w:bottom w:val="single" w:sz="6" w:color="1A365D"/>
        </w:pBdr>
        <w:spacing w:before="160" w:after="60"/>
      </w:pPr>
      <w:r>
        <w:rPr>
          <w:b/>
          <w:color w:val="C9A432"/>
          <w:sz w:val="26"/>
        </w:rPr>
        <w:t>14.  SPECIAL CONDITIONS</w:t>
      </w:r>
    </w:p>
    <w:p>
      <w:pPr>
        <w:spacing w:before="100" w:after="40"/>
      </w:pPr>
      <w:r>
        <w:rPr>
          <w:b/>
          <w:color w:val="1A365D"/>
          <w:sz w:val="21"/>
        </w:rPr>
        <w:t>14.1  Roof Tile Guarantee</w:t>
      </w:r>
    </w:p>
    <w:p>
      <w:pPr>
        <w:ind w:left="0"/>
        <w:spacing w:before="0" w:after="50"/>
      </w:pPr>
      <w:r>
        <w:rPr>
          <w:color w:val="000000"/>
          <w:sz w:val="20"/>
        </w:rPr>
        <w:t>The Contractor guarantees to replace any roof tiles broken or directly damaged during panel installation with tiles of the same style and colour. Where exactly matching tiles are no longer commercially available, the Contractor will replace with tiles of the closest available colour and grade. This guarantee covers only tiles directly damaged during installation; it does not extend to pre-existing roof membrane, waterproofing, or structural conditions.</w:t>
      </w:r>
    </w:p>
    <w:p>
      <w:pPr>
        <w:pBdr>
          <w:bottom w:val="single" w:sz="6" w:color="1A365D"/>
        </w:pBdr>
        <w:spacing w:before="160" w:after="60"/>
      </w:pPr>
      <w:r>
        <w:rPr>
          <w:b/>
          <w:color w:val="C9A432"/>
          <w:sz w:val="26"/>
        </w:rPr>
        <w:t>PAYMENT DETAILS</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F5F7FA"/>
          </w:tcPr>
          <w:p>
            <w:pPr>
              <w:spacing w:before="40" w:after="40"/>
            </w:pPr>
            <w:r>
              <w:rPr>
                <w:b/>
                <w:color w:val="1A365D"/>
                <w:sz w:val="19"/>
              </w:rPr>
              <w:t>Account Name</w:t>
            </w:r>
          </w:p>
        </w:tc>
        <w:tc>
          <w:tcPr>
            <w:tcW w:type="dxa" w:w="6192"/>
          </w:tcPr>
          <w:p>
            <w:pPr>
              <w:spacing w:before="40" w:after="40"/>
            </w:pPr>
            <w:r>
              <w:rPr>
                <w:color w:val="000000"/>
                <w:sz w:val="19"/>
              </w:rPr>
              <w:t>LIGHTHIEF CYPRUS LTD</w:t>
            </w:r>
          </w:p>
        </w:tc>
      </w:tr>
      <w:tr>
        <w:tc>
          <w:tcPr>
            <w:tcW w:type="dxa" w:w="3168"/>
            <w:shd w:val="clear" w:color="auto" w:fill="F5F7FA"/>
          </w:tcPr>
          <w:p>
            <w:pPr>
              <w:spacing w:before="40" w:after="40"/>
            </w:pPr>
            <w:r>
              <w:rPr>
                <w:b/>
                <w:color w:val="1A365D"/>
                <w:sz w:val="19"/>
              </w:rPr>
              <w:t>Account Number</w:t>
            </w:r>
          </w:p>
        </w:tc>
        <w:tc>
          <w:tcPr>
            <w:tcW w:type="dxa" w:w="6192"/>
          </w:tcPr>
          <w:p>
            <w:pPr>
              <w:spacing w:before="40" w:after="40"/>
            </w:pPr>
            <w:r>
              <w:rPr>
                <w:color w:val="000000"/>
                <w:sz w:val="19"/>
              </w:rPr>
              <w:t>357044102353</w:t>
            </w:r>
          </w:p>
        </w:tc>
      </w:tr>
      <w:tr>
        <w:tc>
          <w:tcPr>
            <w:tcW w:type="dxa" w:w="3168"/>
            <w:shd w:val="clear" w:color="auto" w:fill="F5F7FA"/>
          </w:tcPr>
          <w:p>
            <w:pPr>
              <w:spacing w:before="40" w:after="40"/>
            </w:pPr>
            <w:r>
              <w:rPr>
                <w:b/>
                <w:color w:val="1A365D"/>
                <w:sz w:val="19"/>
              </w:rPr>
              <w:t>IBAN</w:t>
            </w:r>
          </w:p>
        </w:tc>
        <w:tc>
          <w:tcPr>
            <w:tcW w:type="dxa" w:w="6192"/>
          </w:tcPr>
          <w:p>
            <w:pPr>
              <w:spacing w:before="40" w:after="40"/>
            </w:pPr>
            <w:r>
              <w:rPr>
                <w:color w:val="000000"/>
                <w:sz w:val="19"/>
              </w:rPr>
              <w:t>CY86002001950000357044102353</w:t>
            </w:r>
          </w:p>
        </w:tc>
      </w:tr>
      <w:tr>
        <w:tc>
          <w:tcPr>
            <w:tcW w:type="dxa" w:w="3168"/>
            <w:shd w:val="clear" w:color="auto" w:fill="F5F7FA"/>
          </w:tcPr>
          <w:p>
            <w:pPr>
              <w:spacing w:before="40" w:after="40"/>
            </w:pPr>
            <w:r>
              <w:rPr>
                <w:b/>
                <w:color w:val="1A365D"/>
                <w:sz w:val="19"/>
              </w:rPr>
              <w:t>SWIFT/BIC</w:t>
            </w:r>
          </w:p>
        </w:tc>
        <w:tc>
          <w:tcPr>
            <w:tcW w:type="dxa" w:w="6192"/>
          </w:tcPr>
          <w:p>
            <w:pPr>
              <w:spacing w:before="40" w:after="40"/>
            </w:pPr>
            <w:r>
              <w:rPr>
                <w:color w:val="000000"/>
                <w:sz w:val="19"/>
              </w:rPr>
              <w:t>BCYPCY2N</w:t>
            </w:r>
          </w:p>
        </w:tc>
      </w:tr>
      <w:tr>
        <w:tc>
          <w:tcPr>
            <w:tcW w:type="dxa" w:w="3168"/>
            <w:shd w:val="clear" w:color="auto" w:fill="F5F7FA"/>
          </w:tcPr>
          <w:p>
            <w:pPr>
              <w:spacing w:before="40" w:after="40"/>
            </w:pPr>
            <w:r>
              <w:rPr>
                <w:b/>
                <w:color w:val="1A365D"/>
                <w:sz w:val="19"/>
              </w:rPr>
              <w:t>Bank</w:t>
            </w:r>
          </w:p>
        </w:tc>
        <w:tc>
          <w:tcPr>
            <w:tcW w:type="dxa" w:w="6192"/>
          </w:tcPr>
          <w:p>
            <w:pPr>
              <w:spacing w:before="40" w:after="40"/>
            </w:pPr>
            <w:r>
              <w:rPr>
                <w:color w:val="000000"/>
                <w:sz w:val="19"/>
              </w:rPr>
              <w:t>Bank of Cyprus</w:t>
            </w:r>
          </w:p>
        </w:tc>
      </w:tr>
    </w:tbl>
    <w:p/>
    <w:tbl>
      <w:tblPr>
        <w:tblW w:type="auto" w:w="0"/>
        <w:jc w:val="left"/>
        <w:tblLook w:firstColumn="1" w:firstRow="1" w:lastColumn="0" w:lastRow="0" w:noHBand="0" w:noVBand="1" w:val="04A0"/>
      </w:tblPr>
      <w:tblGrid>
        <w:gridCol w:w="9406"/>
      </w:tblGrid>
      <w:tr>
        <w:tc>
          <w:tcPr>
            <w:tcW w:type="dxa" w:w="9360"/>
            <w:shd w:val="clear" w:color="auto" w:fill="FFF3CD"/>
            <w:tcBorders>
              <w:top w:val="single" w:sz="12" w:color="FF8C00"/>
              <w:bottom w:val="single" w:sz="12" w:color="FF8C00"/>
              <w:left w:val="single" w:sz="12" w:color="FF8C00"/>
              <w:right w:val="single" w:sz="12" w:color="FF8C00"/>
            </w:tcBorders>
          </w:tcPr>
          <w:p>
            <w:pPr>
              <w:spacing w:before="60" w:after="60"/>
            </w:pPr>
            <w:r>
              <w:rPr>
                <w:color w:val="000000"/>
                <w:sz w:val="19"/>
              </w:rPr>
              <w:t>⚠  FRAUD PREVENTION NOTICE: Lighthief Cyprus Ltd will NEVER change bank account details by email or SMS. Before making any payment, verify the account details above are correct by calling +357 77 77 00 50. Do not transfer funds to any account other than the one above without first confirming directly with a Lighthief representative by phone.</w:t>
            </w:r>
          </w:p>
        </w:tc>
      </w:tr>
    </w:tbl>
    <w:p/>
    <w:p>
      <w:pPr>
        <w:pBdr>
          <w:bottom w:val="single" w:sz="6" w:color="1A365D"/>
        </w:pBdr>
        <w:spacing w:before="160" w:after="60"/>
      </w:pPr>
      <w:r>
        <w:rPr>
          <w:b/>
          <w:color w:val="C9A432"/>
          <w:sz w:val="26"/>
        </w:rPr>
        <w:t>SIGNATURES</w:t>
      </w:r>
    </w:p>
    <w:p>
      <w:pPr>
        <w:ind w:left="0"/>
        <w:spacing w:before="0" w:after="50"/>
      </w:pPr>
      <w:r>
        <w:rPr>
          <w:color w:val="000000"/>
          <w:sz w:val="20"/>
        </w:rPr>
        <w:t>By signing below, both Parties confirm they have read, understood, and agreed to all terms of this Contract, including the Client's right of withdrawal in §10.1.</w:t>
      </w:r>
    </w:p>
    <w:p/>
    <w:tbl>
      <w:tblPr>
        <w:tblW w:type="auto" w:w="0"/>
        <w:jc w:val="left"/>
        <w:tblLook w:firstColumn="1" w:firstRow="1" w:lastColumn="0" w:lastRow="0" w:noHBand="0" w:noVBand="1" w:val="04A0"/>
      </w:tblPr>
      <w:tblGrid>
        <w:gridCol w:w="4703"/>
        <w:gridCol w:w="4703"/>
      </w:tblGrid>
      <w:tr>
        <w:tc>
          <w:tcPr>
            <w:tcW w:type="dxa" w:w="4680"/>
          </w:tcPr>
          <w:p>
            <w:pPr>
              <w:spacing w:before="0" w:after="80"/>
            </w:pPr>
            <w:r>
              <w:rPr>
                <w:b/>
                <w:color w:val="1A365D"/>
                <w:sz w:val="19"/>
              </w:rPr>
              <w:t>FOR THE CLIENT</w:t>
            </w:r>
          </w:p>
          <w:p>
            <w:pPr>
              <w:spacing w:before="0" w:after="50"/>
            </w:pPr>
            <w:r>
              <w:rPr>
                <w:b/>
                <w:color w:val="404040"/>
                <w:sz w:val="19"/>
              </w:rPr>
              <w:t xml:space="preserve">Name:  </w:t>
            </w:r>
            <w:r>
              <w:rPr>
                <w:color w:val="000000"/>
                <w:sz w:val="19"/>
              </w:rPr>
              <w:t>Tamara Morozova</w:t>
            </w:r>
          </w:p>
          <w:p>
            <w:pPr>
              <w:spacing w:before="0" w:after="50"/>
            </w:pPr>
            <w:r>
              <w:rPr>
                <w:b/>
                <w:color w:val="404040"/>
                <w:sz w:val="19"/>
              </w:rPr>
              <w:t xml:space="preserve">Signature:  </w:t>
            </w:r>
            <w:r>
              <w:rPr>
                <w:color w:val="000000"/>
                <w:sz w:val="19"/>
              </w:rPr>
              <w:t>___________________________</w:t>
            </w:r>
          </w:p>
          <w:p>
            <w:pPr>
              <w:spacing w:before="0" w:after="50"/>
            </w:pPr>
            <w:r>
              <w:rPr>
                <w:b/>
                <w:color w:val="404040"/>
                <w:sz w:val="19"/>
              </w:rPr>
              <w:t xml:space="preserve">Date:  </w:t>
            </w:r>
            <w:r>
              <w:rPr>
                <w:color w:val="000000"/>
                <w:sz w:val="19"/>
              </w:rPr>
              <w:t>___________________________</w:t>
            </w:r>
          </w:p>
        </w:tc>
        <w:tc>
          <w:tcPr>
            <w:tcW w:type="dxa" w:w="4680"/>
          </w:tcPr>
          <w:p>
            <w:pPr>
              <w:spacing w:before="0" w:after="80"/>
            </w:pPr>
            <w:r>
              <w:rPr>
                <w:b/>
                <w:color w:val="1A365D"/>
                <w:sz w:val="19"/>
              </w:rPr>
              <w:t>FOR THE CONTRACTOR — LIGHTHIEF CYPRUS LTD</w:t>
            </w:r>
          </w:p>
          <w:p>
            <w:pPr>
              <w:spacing w:before="0" w:after="50"/>
            </w:pPr>
            <w:r>
              <w:rPr>
                <w:b/>
                <w:color w:val="404040"/>
                <w:sz w:val="19"/>
              </w:rPr>
              <w:t xml:space="preserve">Name:  </w:t>
            </w:r>
            <w:r>
              <w:rPr>
                <w:color w:val="000000"/>
                <w:sz w:val="19"/>
              </w:rPr>
              <w:t>Alexander Papacosta</w:t>
            </w:r>
          </w:p>
          <w:p>
            <w:pPr>
              <w:spacing w:before="0" w:after="50"/>
            </w:pPr>
            <w:r>
              <w:rPr>
                <w:b/>
                <w:color w:val="404040"/>
                <w:sz w:val="19"/>
              </w:rPr>
              <w:t xml:space="preserve">Capacity:  </w:t>
            </w:r>
            <w:r>
              <w:rPr>
                <w:color w:val="000000"/>
                <w:sz w:val="19"/>
              </w:rPr>
              <w:t>Business Development Manager</w:t>
            </w:r>
          </w:p>
          <w:p>
            <w:pPr>
              <w:spacing w:before="0" w:after="50"/>
            </w:pPr>
            <w:r>
              <w:rPr>
                <w:b/>
                <w:color w:val="404040"/>
                <w:sz w:val="19"/>
              </w:rPr>
              <w:t xml:space="preserve">Signature:  </w:t>
            </w:r>
            <w:r>
              <w:rPr>
                <w:color w:val="000000"/>
                <w:sz w:val="19"/>
              </w:rPr>
              <w:t>___________________________</w:t>
            </w:r>
          </w:p>
          <w:p>
            <w:pPr>
              <w:spacing w:before="0" w:after="50"/>
            </w:pPr>
            <w:r>
              <w:rPr>
                <w:b/>
                <w:color w:val="404040"/>
                <w:sz w:val="19"/>
              </w:rPr>
              <w:t xml:space="preserve">Date:  </w:t>
            </w:r>
            <w:r>
              <w:rPr>
                <w:color w:val="000000"/>
                <w:sz w:val="19"/>
              </w:rPr>
              <w:t>___________________________</w:t>
            </w:r>
          </w:p>
        </w:tc>
      </w:tr>
    </w:tbl>
    <w:p/>
    <w:p>
      <w:r>
        <w:rPr>
          <w:i/>
          <w:color w:val="404040"/>
          <w:sz w:val="17"/>
        </w:rPr>
        <w:t>* Each Party shall retain one signed original of this Contract.</w:t>
      </w:r>
    </w:p>
    <w:p>
      <w:r>
        <w:br w:type="page"/>
      </w:r>
    </w:p>
    <w:p>
      <w:pPr>
        <w:pBdr>
          <w:bottom w:val="single" w:sz="6" w:color="1A365D"/>
        </w:pBdr>
        <w:spacing w:before="160" w:after="60"/>
      </w:pPr>
      <w:r>
        <w:rPr>
          <w:b/>
          <w:color w:val="C9A432"/>
          <w:sz w:val="26"/>
        </w:rPr>
        <w:t>IMPORTANT NOTICE TO CLIENT</w:t>
      </w:r>
    </w:p>
    <w:tbl>
      <w:tblPr>
        <w:tblW w:type="auto" w:w="0"/>
        <w:jc w:val="left"/>
        <w:tblLook w:firstColumn="1" w:firstRow="1" w:lastColumn="0" w:lastRow="0" w:noHBand="0" w:noVBand="1" w:val="04A0"/>
      </w:tblPr>
      <w:tblGrid>
        <w:gridCol w:w="9406"/>
      </w:tblGrid>
      <w:tr>
        <w:tc>
          <w:tcPr>
            <w:tcW w:type="dxa" w:w="9360"/>
            <w:shd w:val="clear" w:color="auto" w:fill="E8F4FD"/>
            <w:tcBorders>
              <w:top w:val="single" w:sz="12" w:color="1A365D"/>
              <w:bottom w:val="single" w:sz="12" w:color="1A365D"/>
              <w:left w:val="single" w:sz="12" w:color="1A365D"/>
              <w:right w:val="single" w:sz="12" w:color="1A365D"/>
            </w:tcBorders>
          </w:tcPr>
          <w:p>
            <w:pPr>
              <w:spacing w:before="60" w:after="60"/>
            </w:pPr>
            <w:r>
              <w:rPr>
                <w:color w:val="000000"/>
                <w:sz w:val="19"/>
              </w:rPr>
              <w:t>This Contract includes important terms regarding your rights and obligations.</w:t>
              <w:br/>
              <w:br/>
              <w:t>You are advised to:</w:t>
              <w:br/>
              <w:t xml:space="preserve">  •  Read all terms carefully before signing.</w:t>
              <w:br/>
              <w:t xml:space="preserve">  •  Keep a copy for your records.</w:t>
              <w:br/>
              <w:t xml:space="preserve">  •  Note your 14-day right of withdrawal (§10.1).</w:t>
              <w:br/>
              <w:t xml:space="preserve">  •  Understand the payment schedule and milestones.</w:t>
              <w:br/>
              <w:t xml:space="preserve">  •  Note the warranty periods for panels (15yr / 30yr), inverter (10yr), and workmanship (5yr).</w:t>
              <w:br/>
              <w:t xml:space="preserve">  •  Note the annual EAC Net Metering administrative fee (€47.23/kWp + VAT).</w:t>
              <w:br/>
              <w:t xml:space="preserve">  •  Be aware of your consumer rights under Cyprus law.</w:t>
              <w:br/>
              <w:br/>
              <w:t>For more information on your consumer rights, contact:</w:t>
              <w:br/>
              <w:t xml:space="preserve">  •  Cyprus Consumer Protection Service: 1429</w:t>
              <w:br/>
              <w:t xml:space="preserve">  •  Cyprus Energy Regulatory Authority (CERA): +357 22 666 363</w:t>
              <w:br/>
              <w:t xml:space="preserve">  •  EU Online Dispute Resolution: https://ec.europa.eu/consumers/odr/</w:t>
            </w:r>
          </w:p>
        </w:tc>
      </w:tr>
    </w:tbl>
    <w:p/>
    <w:p>
      <w:r>
        <w:br w:type="page"/>
      </w:r>
    </w:p>
    <w:p>
      <w:pPr>
        <w:pBdr>
          <w:bottom w:val="single" w:sz="6" w:color="1A365D"/>
        </w:pBdr>
        <w:spacing w:before="160" w:after="60"/>
      </w:pPr>
      <w:r>
        <w:rPr>
          <w:b/>
          <w:color w:val="C9A432"/>
          <w:sz w:val="26"/>
        </w:rPr>
        <w:t>ANNEX A — STANDARD WITHDRAWAL FORM</w:t>
      </w:r>
    </w:p>
    <w:p>
      <w:pPr>
        <w:ind w:left="0"/>
        <w:spacing w:before="0" w:after="50"/>
      </w:pPr>
      <w:r>
        <w:rPr>
          <w:color w:val="000000"/>
          <w:sz w:val="20"/>
        </w:rPr>
        <w:t>(Complete and return this form only if you wish to withdraw from the Contract)</w:t>
      </w:r>
    </w:p>
    <w:tbl>
      <w:tblPr>
        <w:tblW w:type="auto" w:w="0"/>
        <w:jc w:val="left"/>
        <w:tblLook w:firstColumn="1" w:firstRow="1" w:lastColumn="0" w:lastRow="0" w:noHBand="0" w:noVBand="1" w:val="04A0"/>
      </w:tblPr>
      <w:tblGrid>
        <w:gridCol w:w="9406"/>
      </w:tblGrid>
      <w:tr>
        <w:tc>
          <w:tcPr>
            <w:tcW w:type="dxa" w:w="9360"/>
            <w:shd w:val="clear" w:color="auto" w:fill="FAFBFC"/>
            <w:tcBorders>
              <w:top w:val="single" w:sz="12" w:color="1A365D"/>
              <w:bottom w:val="single" w:sz="12" w:color="1A365D"/>
              <w:left w:val="single" w:sz="12" w:color="1A365D"/>
              <w:right w:val="single" w:sz="12" w:color="1A365D"/>
            </w:tcBorders>
          </w:tcPr>
          <w:p>
            <w:pPr>
              <w:spacing w:before="60" w:after="60"/>
            </w:pPr>
            <w:r>
              <w:rPr>
                <w:color w:val="000000"/>
                <w:sz w:val="19"/>
              </w:rPr>
              <w:t>TO: Lighthief Cyprus Ltd, 28 October Ave 249, Lophitis Business Center 1, Office 201, 3035 Limassol, Cyprus</w:t>
              <w:br/>
              <w:t>Email: office@lighthief.com</w:t>
              <w:br/>
              <w:br/>
              <w:t>I / We (*) hereby give notice that I / We (*) withdraw from my / our (*) contract for the supply and installation of the following:</w:t>
              <w:br/>
              <w:br/>
              <w:t>System address: _______________________________________________</w:t>
              <w:br/>
              <w:br/>
              <w:t>Contract date: 19 December 2025</w:t>
              <w:br/>
              <w:br/>
              <w:t>Client name(s): Tamara Morozova</w:t>
              <w:br/>
              <w:br/>
              <w:t>Client address: _______________________________________________</w:t>
              <w:br/>
              <w:br/>
              <w:t>Client signature(s) (only if this form is notified on paper):</w:t>
              <w:br/>
              <w:br/>
              <w:t>_______________________________________________</w:t>
              <w:br/>
              <w:br/>
              <w:t>Date: _______________________________________________</w:t>
              <w:br/>
              <w:br/>
              <w:t>(*) Delete as appropriate.</w:t>
            </w:r>
          </w:p>
        </w:tc>
      </w:tr>
    </w:tbl>
    <w:p/>
    <w:sectPr w:rsidR="00FC693F" w:rsidRPr="0006063C" w:rsidSect="00034616">
      <w:pgSz w:w="12240" w:h="15840"/>
      <w:pgMar w:top="1020"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