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A365D"/>
          <w:sz w:val="28"/>
        </w:rPr>
        <w:t>INTERNAL — Esperia / Galascope — Pre–client meeting notes</w:t>
        <w:br/>
        <w:t>Wednesday 20 May 2026</w:t>
      </w:r>
    </w:p>
    <w:p>
      <w:r>
        <w:rPr>
          <w:rFonts w:ascii="Calibri" w:hAnsi="Calibri"/>
          <w:color w:val="404040"/>
          <w:sz w:val="22"/>
        </w:rPr>
        <w:t>Lighthief Cyprus Ltd · HE 477423 · Classification: INTERNAL — not for circulation to client without review. Summarises internal discussions (commercial, bank, guarantees, insurance, contract stack). Not legal or financial advice.</w:t>
      </w:r>
    </w:p>
    <w:p>
      <w:pPr>
        <w:spacing w:after="120"/>
      </w:pPr>
      <w:r>
        <w:rPr>
          <w:b/>
          <w:color w:val="C9A432"/>
          <w:sz w:val="28"/>
        </w:rPr>
        <w:t>1. Contract &amp; programme status (Galascope / Esperia)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Galascope Ltd — two BESS sites (Galascope 1: 5 MW / 20 MWh; Galascope 2: 2.5 MW / 10 MWh), Famagusta, hybrid Category B.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Full EPC package (draft for signature) with Esperia side: EPC (LCY-EPC-001 v5.0 baseline; v5.1 commercial/schedule mechanics where applicable), LTSA, EMS addendum, OEM Direct Warranty Undertaking (Linyang). Status discussed: with client (Dino / Esperia) for legal review — confirm actual status on the call.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Upstream: Linyang sales contract (17 Mar 2026 baseline) recorded as executed in internal SSOT; operational gates still include APG before relevant advances to Linyang and construction-phase insurance per risk checklist — confirm with counsel what is already satisfied.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Internal bankability brief (May 2026) is NOT client-facing; client-facing materials are the executed/issued contract pack and curated summaries without internal repo paths or sensitive terms.</w:t>
      </w:r>
    </w:p>
    <w:p>
      <w:pPr>
        <w:spacing w:after="120"/>
      </w:pPr>
      <w:r>
        <w:rPr>
          <w:b/>
          <w:color w:val="C9A432"/>
          <w:sz w:val="28"/>
        </w:rPr>
        <w:t>2. Payment waterfall (headline model)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Client → Lighthief (internal model): 30% advance; 55% pre-shipment; 10% PAC; 5% retention (SSOT text — align to signed EPC §7.1).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Lighthief → Linyang (internal model): 20% advance; 50% pre-shipment; 20% DAP; 10% SAT — align to executed sales contract.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Cash timing: after client 85% and Linyang 70%, the next Linyang 20% (DAP) can create a short window vs client PAC 10% — model per project; consider WC or milestone alignment.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Reconcile SSOT “24-month DLP” retention wording with EPC v5 bankability narrative (3-month DLP) before any client-facing schedule cites retention release.</w:t>
      </w:r>
    </w:p>
    <w:p>
      <w:pPr>
        <w:spacing w:after="120"/>
      </w:pPr>
      <w:r>
        <w:rPr>
          <w:b/>
          <w:color w:val="C9A432"/>
          <w:sz w:val="28"/>
        </w:rPr>
        <w:t>3. Advance Payment Guarantee (APG) — how it works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APG is issued by Linyang’s bank (applicant Linyang) for the benefit of Lighthief as buyer — secures refund/reperformance if equipment prepayments are taken and supply fails.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Operational rule: do not remit Linyang equipment prepayments until an acceptable APG is in hand (condition precedent in the sales/EPC chain — exact clause per executed documents).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This does NOT replace possible separate security that the client’s bank (e.g. Alpha) may want from Lighthief for the client’s advance (different direction: contractor / bank to employer or security agent).</w:t>
      </w:r>
    </w:p>
    <w:p>
      <w:pPr>
        <w:spacing w:after="120"/>
      </w:pPr>
      <w:r>
        <w:rPr>
          <w:b/>
          <w:color w:val="C9A432"/>
          <w:sz w:val="28"/>
        </w:rPr>
        <w:t>4. Bank of Cyprus &amp; Alpha / lender context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BoC relationship is young (from 1 July); modest cumulative flows (~€200k discussed internally). Expect limited appetite for large unsecured on-demand bonds — early discussion with Trade Finance / Guarantees and RM (Marianna) to size realistic products.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Alpha (or other lender) will drive CPs for the borrower; Lighthief must map what BoC can actually issue vs what Alpha asks (advance payment bond, performance bond, escrow, LC).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If corporate bonds are not available unsecured, fall back to: escrow / controlled account, client-side LC, lower advance %, smaller tranches, cash-covered surety, or (if acceptable) JV with established EPC balance sheet.</w:t>
      </w:r>
    </w:p>
    <w:p>
      <w:pPr>
        <w:spacing w:after="120"/>
      </w:pPr>
      <w:r>
        <w:rPr>
          <w:b/>
          <w:color w:val="C9A432"/>
          <w:sz w:val="28"/>
        </w:rPr>
        <w:t>5. Newco / no completed BESS EPC under Lighthief Cyprus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Treat lack of Cyprus EPC completion history as normal: credit story for thin SPV is usually structural (escrow, LC, OEM APG, insurance, delivery chain bios) plus any group experience presented accurately — not as blanket cross-guarantee unless counsel structures it.</w:t>
      </w:r>
    </w:p>
    <w:p>
      <w:pPr>
        <w:spacing w:after="120"/>
      </w:pPr>
      <w:r>
        <w:rPr>
          <w:b/>
          <w:color w:val="C9A432"/>
          <w:sz w:val="28"/>
        </w:rPr>
        <w:t>6. Sinosure / export credit (Linyang side)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Sinosure-style cover is typically for commercial credit risk; if milestones are truly client-funded and APG gates upstream prepay, clarify with Linyang counsel exactly which product and premium they require and whether it applies to fully prepaid tranches.</w:t>
      </w:r>
    </w:p>
    <w:p>
      <w:pPr>
        <w:spacing w:after="120"/>
      </w:pPr>
      <w:r>
        <w:rPr>
          <w:b/>
          <w:color w:val="C9A432"/>
          <w:sz w:val="28"/>
        </w:rPr>
        <w:t>7. Poland bank guarantee samples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Useful as non-binding format / negotiation examples only; not legally portable. Each deal needs a new instrument matching applicant, beneficiary, contract reference, amount, currency, law, and EPC/Linyang definitions.</w:t>
      </w:r>
    </w:p>
    <w:p>
      <w:pPr>
        <w:spacing w:after="120"/>
      </w:pPr>
      <w:r>
        <w:rPr>
          <w:b/>
          <w:color w:val="C9A432"/>
          <w:sz w:val="28"/>
        </w:rPr>
        <w:t>8. Escrow option (client cash + Linyang payment)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Client funds escrow; release to Lighthief when objective CPs are met (e.g. APG + documentation); Lighthief pays Linyang same day / back-to-back from cleared funds.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Direct escrow-to-Linyang splits are possible but need Linyang acceptance, bank KYC, and tax/invoice alignment.</w:t>
      </w:r>
    </w:p>
    <w:p>
      <w:pPr>
        <w:spacing w:after="120"/>
      </w:pPr>
      <w:r>
        <w:rPr>
          <w:b/>
          <w:color w:val="C9A432"/>
          <w:sz w:val="28"/>
        </w:rPr>
        <w:t>9. Holland (NBI) insurance supplementary pack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Internal exposure schedule to Holland Verzekeringsmakelaars: strong numerics for CAR/DSU/LD, but treat as underwriting appendix; add explicit broker asks, deadlines, and market minimums if used as formal RFP.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Fix internal inconsistencies before re-issue (park/MWh totals vs subtitle; total EPC sum reconciliation; EPC version cite should match current v5 / v5.1 stack).</w:t>
      </w:r>
    </w:p>
    <w:p>
      <w:pPr>
        <w:spacing w:after="120"/>
      </w:pPr>
      <w:r>
        <w:rPr>
          <w:b/>
          <w:color w:val="C9A432"/>
          <w:sz w:val="28"/>
        </w:rPr>
        <w:t>10. Scope &amp; pricing clarifications for Dino (group / Galascope)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Show group-proposal.html scope page: included vs excluded split is now explicit.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INCLUDED in group €/kWh: Costas Hadjikyriacou ETEK installer sign-off (installation compliance, protection settings attestation, EAC liaison for BESS compound); Lighthief coordinates and attends DSO witness; full commissioning.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EXCLUDED: licensed electrical design / permit / as-built drawing packages for the wider site (€5k–15k/site typical — Client's engineer); EAC/DSO inspection and protection-test invoices; external LPS; telecom OPEX.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Key message: installer sign-off ≠ licensed design drawings — confirm Dino understands before signature; mirror in EPC Schedule 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See meeting-dino-terms-may2026.md for verbatim talking lines.</w:t>
      </w:r>
    </w:p>
    <w:p>
      <w:pPr>
        <w:spacing w:after="120"/>
      </w:pPr>
      <w:r>
        <w:rPr>
          <w:b/>
          <w:color w:val="C9A432"/>
          <w:sz w:val="28"/>
        </w:rPr>
        <w:t>11. Suggested talking points — commercial / legal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Confirm signing timeline and any Alpha CPs already known.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Confirm milestone dates vs batch CIF/PAC assumptions.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Agree communication path for bond/escrow/LC if lender is in the loop.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No internal quotation refs or margin language in client-visible follow-ups.</w:t>
      </w:r>
    </w:p>
    <w:p/>
    <w:p>
      <w:r>
        <w:rPr>
          <w:rFonts w:ascii="Calibri" w:hAnsi="Calibri"/>
          <w:color w:val="404040"/>
          <w:sz w:val="18"/>
        </w:rPr>
        <w:t>Prepared from internal working notes. Verify all figures against executed contracts and lib/portfolio-data.ts before reliance.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