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2"/>
        </w:rPr>
        <w:t>SIA 3.2 MWp — EPC Build Options Analysis (Internal)</w:t>
      </w:r>
    </w:p>
    <w:p>
      <w:r>
        <w:rPr>
          <w:rFonts w:ascii="Calibri" w:hAnsi="Calibri"/>
          <w:color w:val="404040"/>
          <w:sz w:val="18"/>
        </w:rPr>
        <w:t>CONFIDENTIAL — Lighthief Cyprus Ltd — May 2026  |  Not for distribution</w:t>
      </w:r>
    </w:p>
    <w:p/>
    <w:p>
      <w:pPr>
        <w:pStyle w:val="Heading1"/>
      </w:pPr>
      <w:r>
        <w:rPr>
          <w:rFonts w:ascii="Calibri" w:hAnsi="Calibri"/>
          <w:color w:val="1A365D"/>
        </w:rPr>
        <w:t>1. Overview</w:t>
      </w:r>
    </w:p>
    <w:p>
      <w:r>
        <w:t>Four PV build configurations are compared for the SIA 3.2 MWp + 10 MWh BESS project (Larnaca District, Cyprus). All use AE Solar 645W bifacial panels (€0.112/W EXW Rotterdam, 4,961 panels) and 9 × Huawei SUN2000-330KTL-H1 inverters (Trikkis pricelist €7,329.01 pallet, March 2026). BESS: 2.5 MW / 10 MWh, 4h, Lighthief installed €125k/MWh. Revenue modelled on 50% curtailment, 87.4% BESS capture, 86.32% RTE, €195/MWh discharge (TSOC DAM Oct 2025–Feb 2026). CIT 12.5%.</w:t>
      </w:r>
    </w:p>
    <w:p>
      <w:pPr>
        <w:pStyle w:val="Heading1"/>
      </w:pPr>
      <w:r>
        <w:rPr>
          <w:rFonts w:ascii="Calibri" w:hAnsi="Calibri"/>
          <w:color w:val="1A365D"/>
        </w:rPr>
        <w:t>2. Build Options</w:t>
      </w:r>
    </w:p>
    <w:p>
      <w:pPr>
        <w:pStyle w:val="Heading2"/>
      </w:pPr>
      <w:r>
        <w:rPr>
          <w:rFonts w:ascii="Calibri" w:hAnsi="Calibri"/>
          <w:color w:val="1A365D"/>
        </w:rPr>
        <w:t>Option A: Fixed Tilt 15° — Standard</w:t>
      </w:r>
    </w:p>
    <w:p>
      <w:r>
        <w:t>South-facing 15° fixed tilt. Bifacial 645W. No ground treatment. Lowest CAPEX, lowest yield.</w:t>
      </w:r>
    </w:p>
    <w:p>
      <w:pPr>
        <w:pStyle w:val="Heading2"/>
      </w:pPr>
      <w:r>
        <w:rPr>
          <w:rFonts w:ascii="Calibri" w:hAnsi="Calibri"/>
          <w:color w:val="1A365D"/>
        </w:rPr>
        <w:t>Option B: Fixed Tilt 25° + White Albedo</w:t>
      </w:r>
    </w:p>
    <w:p>
      <w:r>
        <w:t>Optimised 25° tilt + white albedo (crushed limestone/PVC). No permit change. RECOMMENDED.</w:t>
      </w:r>
    </w:p>
    <w:p>
      <w:pPr>
        <w:pStyle w:val="Heading2"/>
      </w:pPr>
      <w:r>
        <w:rPr>
          <w:rFonts w:ascii="Calibri" w:hAnsi="Calibri"/>
          <w:color w:val="1A365D"/>
        </w:rPr>
        <w:t>Option C: Single-Axis Tracker + Bifacial</w:t>
      </w:r>
    </w:p>
    <w:p>
      <w:r>
        <w:t>SAT tracking +15% yield vs fixed. Requires permit amendment. Higher O&amp;M.</w:t>
      </w:r>
    </w:p>
    <w:p>
      <w:pPr>
        <w:pStyle w:val="Heading2"/>
      </w:pPr>
      <w:r>
        <w:rPr>
          <w:rFonts w:ascii="Calibri" w:hAnsi="Calibri"/>
          <w:color w:val="1A365D"/>
        </w:rPr>
        <w:t>Option D: SAT + Bifacial + White Albedo</w:t>
      </w:r>
    </w:p>
    <w:p>
      <w:r>
        <w:t>Maximum yield config. Permit amendment required. Highest CAPEX and complexity.</w:t>
      </w:r>
    </w:p>
    <w:p/>
    <w:p>
      <w:pPr>
        <w:pStyle w:val="Heading1"/>
      </w:pPr>
      <w:r>
        <w:rPr>
          <w:rFonts w:ascii="Calibri" w:hAnsi="Calibri"/>
          <w:color w:val="1A365D"/>
        </w:rPr>
        <w:t>3. Comparison — All Four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71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  Fixed 15°</w:t>
            </w:r>
          </w:p>
        </w:tc>
        <w:tc>
          <w:tcPr>
            <w:tcW w:type="dxa" w:w="1871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  Fixed 25°+Albedo</w:t>
            </w:r>
          </w:p>
        </w:tc>
        <w:tc>
          <w:tcPr>
            <w:tcW w:type="dxa" w:w="1871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  SAT Tracker</w:t>
            </w:r>
          </w:p>
        </w:tc>
        <w:tc>
          <w:tcPr>
            <w:tcW w:type="dxa" w:w="1871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  SAT+Albedo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Yield (kWh/kWp/yr)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1,650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1,900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2,100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2,300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Annual production (MWh)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5,280.0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6,080.0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6,720.0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7,360.0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PV EPC self-cost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€1,469,723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€1,522,223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€1,710,173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€1,736,423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Lighthief markup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€320,000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€320,000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€320,000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€320,000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PV EPC client price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€1,789,723</w:t>
              <w:br/>
              <w:t>(€559,288/MWp)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€1,842,223</w:t>
              <w:br/>
              <w:t>(€575,695/MWp)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€2,030,173</w:t>
              <w:br/>
              <w:t>(€634,429/MWp)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€2,056,423</w:t>
              <w:br/>
              <w:t>(€642,632/MWp)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BESS EPC (10 MWh)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€1,250,000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€1,250,000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€1,250,000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€1,250,000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Total CAPEX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€5,078,908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€5,133,508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€5,328,976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€5,356,276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Gross Y1 revenue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€760,168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€875,605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€967,682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€1,059,758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Y1 OPEX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€123,795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€124,068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€125,045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€125,181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Y1 EBITDA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€560,356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€663,976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€745,869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€828,601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Y1 FCF (post-tax)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€523,976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€614,972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€687,803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€760,358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Cash yield Y1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10.3%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12.0%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12.9%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14.2%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Simple payback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9.7 yrs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8.3 yrs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7.7 yrs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7.0 yrs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Permit amendment?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871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65D"/>
        </w:rPr>
        <w:t>4. Option B Sensitivity Scenarios</w:t>
      </w:r>
    </w:p>
    <w:p>
      <w:r>
        <w:rPr>
          <w:sz w:val="18"/>
        </w:rPr>
        <w:t>Option B is the recommended base configuration. Two variables control whether payback falls under 9 years: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381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Discharge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Acq. Cost</w:t>
            </w:r>
          </w:p>
        </w:tc>
        <w:tc>
          <w:tcPr>
            <w:tcW w:type="dxa" w:w="158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Total CAPEX</w:t>
            </w:r>
          </w:p>
        </w:tc>
        <w:tc>
          <w:tcPr>
            <w:tcW w:type="dxa" w:w="124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Y1 FCF</w:t>
            </w:r>
          </w:p>
        </w:tc>
        <w:tc>
          <w:tcPr>
            <w:tcW w:type="dxa" w:w="124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Cash Yield</w:t>
            </w:r>
          </w:p>
        </w:tc>
        <w:tc>
          <w:tcPr>
            <w:tcW w:type="dxa" w:w="124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Payback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B1 — Baseline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€195/MWh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€550k/MW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€5,133,508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€614,972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12.0%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8.3 yrs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B2 — Higher discharge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€220/MWh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€550k/MW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€5,133,508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€660,136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12.9%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7.8 yrs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B3 — Lower acquisition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€195/MWh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€500k/MW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€4,967,108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€614,367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12.4%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8.1 yrs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B4 — COMBINED ★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€220/MWh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€500k/MW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€4,967,108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€659,531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13.3%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7.5 yrs</w:t>
            </w:r>
          </w:p>
        </w:tc>
      </w:tr>
    </w:tbl>
    <w:p>
      <w:r>
        <w:rPr>
          <w:b/>
          <w:color w:val="059669"/>
          <w:sz w:val="18"/>
        </w:rPr>
        <w:t>★ B4 COMBINED best-case: CAPEX €4,967,108  |  FCF €659,531/yr  |  Payback 7.5 years</w:t>
        <w:br/>
        <w:t>€220/MWh is still very conservative — April 2026 DAM observed &gt;€340/MWh. €500k/MW acquisition requires €160k concession from seller — negotiable as EPC package deal.</w:t>
      </w:r>
    </w:p>
    <w:p/>
    <w:p>
      <w:pPr>
        <w:pStyle w:val="Heading1"/>
      </w:pPr>
      <w:r>
        <w:rPr>
          <w:rFonts w:ascii="Calibri" w:hAnsi="Calibri"/>
          <w:color w:val="1A365D"/>
        </w:rPr>
        <w:t>5. Recommendation</w:t>
      </w:r>
    </w:p>
    <w:p>
      <w:r>
        <w:rPr>
          <w:b/>
          <w:color w:val="059669"/>
          <w:sz w:val="22"/>
        </w:rPr>
        <w:t>Option B — Fixed 25° + White Albedo</w:t>
        <w:br/>
      </w:r>
      <w:r>
        <w:rPr>
          <w:sz w:val="18"/>
        </w:rPr>
        <w:t>Delivers 1,900 kWh/kWp (+15% vs standard) for €52k additional CAPEX with no permit amendment. At baseline assumptions: 8.3-year payback, 12.0% cash yield. Combined scenario B4 achieves 7.5 years with defensible conservative pricing.</w:t>
      </w:r>
    </w:p>
    <w:p/>
    <w:p>
      <w:pPr>
        <w:pStyle w:val="Heading1"/>
      </w:pPr>
      <w:r>
        <w:rPr>
          <w:rFonts w:ascii="Calibri" w:hAnsi="Calibri"/>
          <w:color w:val="1A365D"/>
        </w:rPr>
        <w:t>6. Key Pricing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37"/>
            <w:shd w:val="clear" w:color="auto"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Source / Value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Panels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AE Solar 645W bifacial — €0.112/W EXW Rotterdam (user-quoted)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Inverters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Trikkis CY Pricelist Mar 2026 — SUN2000-330KTL-H1 pallet €7,329.01 (code 200354)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Fencing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Trikkis Mar 2026 — code 400127: €10/m wholesale. Gate 400128: €300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DC cables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Trikkis Mar 2026 — 4mm²: €0.52/m, 6mm²: €0.76/m wholesale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Civil works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User range €90-110k — modelled at €100k midpoint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MV transformer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User range €80-120k — modelled at €100k midpoint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BESS EPC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Lighthief rate €125k/MWh × 10 MWh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RTB acquisition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Seller asking price €550k/MW (scenario B3/B4 tests €500k/MW)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EAC grid works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EAC preliminary estimate €83,842 ex VAT — NOT BINDING (changes after TES)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Discharge price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TSOC DAM Oct 2025–Feb 2026 avg €183/MWh. Modelled: €195 (base) / €220 (B2/B4)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CIT</w:t>
            </w:r>
          </w:p>
        </w:tc>
        <w:tc>
          <w:tcPr>
            <w:tcW w:type="dxa" w:w="7937"/>
          </w:tcPr>
          <w:p>
            <w:pPr>
              <w:jc w:val="right"/>
            </w:pPr>
            <w:r>
              <w:rPr>
                <w:rFonts w:ascii="Calibri" w:hAnsi="Calibri"/>
                <w:sz w:val="16"/>
              </w:rPr>
              <w:t>12.5% Cyprus statutory corporate income tax</w:t>
            </w:r>
          </w:p>
        </w:tc>
      </w:tr>
    </w:tbl>
    <w:p>
      <w:r>
        <w:rPr>
          <w:color w:val="404040"/>
          <w:sz w:val="14"/>
        </w:rPr>
        <w:br/>
        <w:t>Generated 11 May 2026  |  Lighthief Cyprus Ltd (HE 477423)  |  CONFIDENTIAL — INTERNAL USE ONLY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