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2"/>
        </w:rPr>
        <w:t>REFERRAL COMMISSION AGREEMENT</w:t>
      </w:r>
    </w:p>
    <w:p>
      <w:pPr>
        <w:jc w:val="center"/>
      </w:pPr>
      <w:r>
        <w:rPr>
          <w:rFonts w:ascii="Calibri" w:hAnsi="Calibri"/>
          <w:i/>
          <w:color w:val="404040"/>
          <w:sz w:val="22"/>
        </w:rPr>
        <w:t>Battery Energy Storage System (BESS) EPC Turnkey Solutions — Cyprus</w:t>
        <w:br/>
        <w:t>Lighthief Cyprus Ltd  ·  Referral Partner Program</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Agreement Reference</w:t>
            </w:r>
          </w:p>
        </w:tc>
        <w:tc>
          <w:tcPr>
            <w:tcW w:type="dxa" w:w="4419"/>
          </w:tcPr>
          <w:p>
            <w:r>
              <w:rPr>
                <w:color w:val="000000"/>
                <w:sz w:val="20"/>
              </w:rPr>
              <w:t>LCY-REF-2026-SMT-001</w:t>
            </w:r>
          </w:p>
        </w:tc>
      </w:tr>
      <w:tr>
        <w:tc>
          <w:tcPr>
            <w:tcW w:type="dxa" w:w="4419"/>
          </w:tcPr>
          <w:p>
            <w:r>
              <w:rPr>
                <w:b/>
                <w:sz w:val="20"/>
              </w:rPr>
              <w:t>Date of Agreement</w:t>
            </w:r>
          </w:p>
        </w:tc>
        <w:tc>
          <w:tcPr>
            <w:tcW w:type="dxa" w:w="4419"/>
          </w:tcPr>
          <w:p>
            <w:r>
              <w:rPr>
                <w:color w:val="000000"/>
                <w:sz w:val="20"/>
              </w:rPr>
              <w:t>11 May 2026</w:t>
            </w:r>
          </w:p>
        </w:tc>
      </w:tr>
      <w:tr>
        <w:tc>
          <w:tcPr>
            <w:tcW w:type="dxa" w:w="4419"/>
          </w:tcPr>
          <w:p>
            <w:r>
              <w:rPr>
                <w:b/>
                <w:sz w:val="20"/>
              </w:rPr>
              <w:t>Classification</w:t>
            </w:r>
          </w:p>
        </w:tc>
        <w:tc>
          <w:tcPr>
            <w:tcW w:type="dxa" w:w="4419"/>
          </w:tcPr>
          <w:p>
            <w:r>
              <w:rPr>
                <w:color w:val="000000"/>
                <w:sz w:val="20"/>
              </w:rPr>
              <w:t>CONFIDENTIAL — Between Parties Only</w:t>
            </w:r>
          </w:p>
        </w:tc>
      </w:tr>
      <w:tr>
        <w:tc>
          <w:tcPr>
            <w:tcW w:type="dxa" w:w="4419"/>
          </w:tcPr>
          <w:p>
            <w:r>
              <w:rPr>
                <w:b/>
                <w:sz w:val="20"/>
              </w:rPr>
              <w:t>Program Reference</w:t>
            </w:r>
          </w:p>
        </w:tc>
        <w:tc>
          <w:tcPr>
            <w:tcW w:type="dxa" w:w="4419"/>
          </w:tcPr>
          <w:p>
            <w:r>
              <w:rPr>
                <w:color w:val="000000"/>
                <w:sz w:val="20"/>
              </w:rPr>
              <w:t>LCY-REF-2026-001</w:t>
            </w:r>
          </w:p>
        </w:tc>
      </w:tr>
    </w:tbl>
    <w:p/>
    <w:p>
      <w:r>
        <w:rPr>
          <w:color w:val="404040"/>
          <w:sz w:val="16"/>
        </w:rPr>
        <w:t>────────────────────────────────────────────────────────────────────────────────</w:t>
      </w:r>
    </w:p>
    <w:p/>
    <w:p>
      <w:pPr>
        <w:pStyle w:val="Heading1"/>
        <w:jc w:val="left"/>
      </w:pPr>
      <w:r>
        <w:rPr>
          <w:b/>
          <w:color w:val="C9A432"/>
          <w:sz w:val="28"/>
        </w:rPr>
        <w:t>1.  PARTIES</w:t>
      </w:r>
    </w:p>
    <w:p>
      <w:pPr>
        <w:pStyle w:val="Heading2"/>
        <w:jc w:val="left"/>
      </w:pPr>
      <w:r>
        <w:rPr>
          <w:b/>
          <w:color w:val="C9A432"/>
          <w:sz w:val="24"/>
        </w:rPr>
        <w:t>1.1  Principal</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w:t>
            </w:r>
          </w:p>
        </w:tc>
        <w:tc>
          <w:tcPr>
            <w:tcW w:type="dxa" w:w="4419"/>
          </w:tcPr>
          <w:p>
            <w:r>
              <w:rPr>
                <w:color w:val="000000"/>
                <w:sz w:val="20"/>
              </w:rPr>
              <w:t>LIGHTHIEF CYPRUS LTD</w:t>
            </w:r>
          </w:p>
        </w:tc>
      </w:tr>
      <w:tr>
        <w:tc>
          <w:tcPr>
            <w:tcW w:type="dxa" w:w="4419"/>
          </w:tcPr>
          <w:p>
            <w:r>
              <w:rPr>
                <w:b/>
                <w:sz w:val="20"/>
              </w:rPr>
              <w:t>Reg. No.</w:t>
            </w:r>
          </w:p>
        </w:tc>
        <w:tc>
          <w:tcPr>
            <w:tcW w:type="dxa" w:w="4419"/>
          </w:tcPr>
          <w:p>
            <w:r>
              <w:rPr>
                <w:color w:val="000000"/>
                <w:sz w:val="20"/>
              </w:rPr>
              <w:t>HE 477423</w:t>
            </w:r>
          </w:p>
        </w:tc>
      </w:tr>
      <w:tr>
        <w:tc>
          <w:tcPr>
            <w:tcW w:type="dxa" w:w="4419"/>
          </w:tcPr>
          <w:p>
            <w:r>
              <w:rPr>
                <w:b/>
                <w:sz w:val="20"/>
              </w:rPr>
              <w:t>TIN</w:t>
            </w:r>
          </w:p>
        </w:tc>
        <w:tc>
          <w:tcPr>
            <w:tcW w:type="dxa" w:w="4419"/>
          </w:tcPr>
          <w:p>
            <w:r>
              <w:rPr>
                <w:color w:val="000000"/>
                <w:sz w:val="20"/>
              </w:rPr>
              <w:t>60187188Q</w:t>
            </w:r>
          </w:p>
        </w:tc>
      </w:tr>
      <w:tr>
        <w:tc>
          <w:tcPr>
            <w:tcW w:type="dxa" w:w="4419"/>
          </w:tcPr>
          <w:p>
            <w:r>
              <w:rPr>
                <w:b/>
                <w:sz w:val="20"/>
              </w:rPr>
              <w:t>Address</w:t>
            </w:r>
          </w:p>
        </w:tc>
        <w:tc>
          <w:tcPr>
            <w:tcW w:type="dxa" w:w="4419"/>
          </w:tcPr>
          <w:p>
            <w:r>
              <w:rPr>
                <w:color w:val="000000"/>
                <w:sz w:val="20"/>
              </w:rPr>
              <w:t>28 October Ave 249, Lophitis Business Center I, Office 201, 3035 Limassol, Cyprus</w:t>
            </w:r>
          </w:p>
        </w:tc>
      </w:tr>
      <w:tr>
        <w:tc>
          <w:tcPr>
            <w:tcW w:type="dxa" w:w="4419"/>
          </w:tcPr>
          <w:p>
            <w:r>
              <w:rPr>
                <w:b/>
                <w:sz w:val="20"/>
              </w:rPr>
              <w:t>Email</w:t>
            </w:r>
          </w:p>
        </w:tc>
        <w:tc>
          <w:tcPr>
            <w:tcW w:type="dxa" w:w="4419"/>
          </w:tcPr>
          <w:p>
            <w:r>
              <w:rPr>
                <w:color w:val="000000"/>
                <w:sz w:val="20"/>
              </w:rPr>
              <w:t>office@lighthief.com</w:t>
            </w:r>
          </w:p>
        </w:tc>
      </w:tr>
      <w:tr>
        <w:tc>
          <w:tcPr>
            <w:tcW w:type="dxa" w:w="4419"/>
          </w:tcPr>
          <w:p>
            <w:r>
              <w:rPr>
                <w:b/>
                <w:sz w:val="20"/>
              </w:rPr>
              <w:t>Tel</w:t>
            </w:r>
          </w:p>
        </w:tc>
        <w:tc>
          <w:tcPr>
            <w:tcW w:type="dxa" w:w="4419"/>
          </w:tcPr>
          <w:p>
            <w:r>
              <w:rPr>
                <w:color w:val="000000"/>
                <w:sz w:val="20"/>
              </w:rPr>
              <w:t>+357 77 77 00 50</w:t>
            </w:r>
          </w:p>
        </w:tc>
      </w:tr>
      <w:tr>
        <w:tc>
          <w:tcPr>
            <w:tcW w:type="dxa" w:w="4419"/>
          </w:tcPr>
          <w:p>
            <w:r>
              <w:rPr>
                <w:b/>
                <w:sz w:val="20"/>
              </w:rPr>
              <w:t>Representative</w:t>
            </w:r>
          </w:p>
        </w:tc>
        <w:tc>
          <w:tcPr>
            <w:tcW w:type="dxa" w:w="4419"/>
          </w:tcPr>
          <w:p>
            <w:r>
              <w:rPr>
                <w:color w:val="000000"/>
                <w:sz w:val="20"/>
              </w:rPr>
              <w:t>Alexander Papacosta, Managing Director</w:t>
            </w:r>
          </w:p>
        </w:tc>
      </w:tr>
    </w:tbl>
    <w:p/>
    <w:p>
      <w:pPr>
        <w:pStyle w:val="Heading2"/>
        <w:jc w:val="left"/>
      </w:pPr>
      <w:r>
        <w:rPr>
          <w:b/>
          <w:color w:val="C9A432"/>
          <w:sz w:val="24"/>
        </w:rPr>
        <w:t>1.2  Referral Partner</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 Name</w:t>
            </w:r>
          </w:p>
        </w:tc>
        <w:tc>
          <w:tcPr>
            <w:tcW w:type="dxa" w:w="4419"/>
          </w:tcPr>
          <w:p>
            <w:r>
              <w:rPr>
                <w:color w:val="000000"/>
                <w:sz w:val="20"/>
              </w:rPr>
              <w:t>S.M.T. UNLIMITED GROUP LTD</w:t>
            </w:r>
          </w:p>
        </w:tc>
      </w:tr>
      <w:tr>
        <w:tc>
          <w:tcPr>
            <w:tcW w:type="dxa" w:w="4419"/>
          </w:tcPr>
          <w:p>
            <w:r>
              <w:rPr>
                <w:b/>
                <w:sz w:val="20"/>
              </w:rPr>
              <w:t>Reg. No.</w:t>
            </w:r>
          </w:p>
        </w:tc>
        <w:tc>
          <w:tcPr>
            <w:tcW w:type="dxa" w:w="4419"/>
          </w:tcPr>
          <w:p>
            <w:r>
              <w:rPr>
                <w:color w:val="000000"/>
                <w:sz w:val="20"/>
              </w:rPr>
              <w:t>HE 468004</w:t>
            </w:r>
          </w:p>
        </w:tc>
      </w:tr>
      <w:tr>
        <w:tc>
          <w:tcPr>
            <w:tcW w:type="dxa" w:w="4419"/>
          </w:tcPr>
          <w:p>
            <w:r>
              <w:rPr>
                <w:b/>
                <w:sz w:val="20"/>
              </w:rPr>
              <w:t>VAT / TIN No.</w:t>
            </w:r>
          </w:p>
        </w:tc>
        <w:tc>
          <w:tcPr>
            <w:tcW w:type="dxa" w:w="4419"/>
          </w:tcPr>
          <w:p>
            <w:r>
              <w:rPr>
                <w:color w:val="000000"/>
                <w:sz w:val="20"/>
              </w:rPr>
              <w:t>______________________________________</w:t>
            </w:r>
          </w:p>
        </w:tc>
      </w:tr>
      <w:tr>
        <w:tc>
          <w:tcPr>
            <w:tcW w:type="dxa" w:w="4419"/>
          </w:tcPr>
          <w:p>
            <w:r>
              <w:rPr>
                <w:b/>
                <w:sz w:val="20"/>
              </w:rPr>
              <w:t>Registered Address</w:t>
            </w:r>
          </w:p>
        </w:tc>
        <w:tc>
          <w:tcPr>
            <w:tcW w:type="dxa" w:w="4419"/>
          </w:tcPr>
          <w:p>
            <w:r>
              <w:rPr>
                <w:color w:val="000000"/>
                <w:sz w:val="20"/>
              </w:rPr>
              <w:t>Taxiarchon 36, Flat/Office B203, 8036, Paphos, Cyprus</w:t>
            </w:r>
          </w:p>
        </w:tc>
      </w:tr>
      <w:tr>
        <w:tc>
          <w:tcPr>
            <w:tcW w:type="dxa" w:w="4419"/>
          </w:tcPr>
          <w:p>
            <w:r>
              <w:rPr>
                <w:b/>
                <w:sz w:val="20"/>
              </w:rPr>
              <w:t>Email</w:t>
            </w:r>
          </w:p>
        </w:tc>
        <w:tc>
          <w:tcPr>
            <w:tcW w:type="dxa" w:w="4419"/>
          </w:tcPr>
          <w:p>
            <w:r>
              <w:rPr>
                <w:color w:val="000000"/>
                <w:sz w:val="20"/>
              </w:rPr>
              <w:t>______________________________________</w:t>
            </w:r>
          </w:p>
        </w:tc>
      </w:tr>
      <w:tr>
        <w:tc>
          <w:tcPr>
            <w:tcW w:type="dxa" w:w="4419"/>
          </w:tcPr>
          <w:p>
            <w:r>
              <w:rPr>
                <w:b/>
                <w:sz w:val="20"/>
              </w:rPr>
              <w:t>Tel</w:t>
            </w:r>
          </w:p>
        </w:tc>
        <w:tc>
          <w:tcPr>
            <w:tcW w:type="dxa" w:w="4419"/>
          </w:tcPr>
          <w:p>
            <w:r>
              <w:rPr>
                <w:color w:val="000000"/>
                <w:sz w:val="20"/>
              </w:rPr>
              <w:t>______________________________________</w:t>
            </w:r>
          </w:p>
        </w:tc>
      </w:tr>
      <w:tr>
        <w:tc>
          <w:tcPr>
            <w:tcW w:type="dxa" w:w="4419"/>
          </w:tcPr>
          <w:p>
            <w:r>
              <w:rPr>
                <w:b/>
                <w:sz w:val="20"/>
              </w:rPr>
              <w:t>Director Name</w:t>
            </w:r>
          </w:p>
        </w:tc>
        <w:tc>
          <w:tcPr>
            <w:tcW w:type="dxa" w:w="4419"/>
          </w:tcPr>
          <w:p>
            <w:r>
              <w:rPr>
                <w:color w:val="000000"/>
                <w:sz w:val="20"/>
              </w:rPr>
              <w:t>______________________________________</w:t>
            </w:r>
          </w:p>
        </w:tc>
      </w:tr>
      <w:tr>
        <w:tc>
          <w:tcPr>
            <w:tcW w:type="dxa" w:w="4419"/>
          </w:tcPr>
          <w:p>
            <w:r>
              <w:rPr>
                <w:b/>
                <w:sz w:val="20"/>
              </w:rPr>
              <w:t>Director Signature</w:t>
            </w:r>
          </w:p>
        </w:tc>
        <w:tc>
          <w:tcPr>
            <w:tcW w:type="dxa" w:w="4419"/>
          </w:tcPr>
          <w:p>
            <w:r>
              <w:rPr>
                <w:color w:val="000000"/>
                <w:sz w:val="20"/>
              </w:rPr>
              <w:t>______________________________________</w:t>
            </w:r>
          </w:p>
        </w:tc>
      </w:tr>
    </w:tbl>
    <w:p/>
    <w:p>
      <w:r>
        <w:rPr>
          <w:rFonts w:ascii="Calibri" w:hAnsi="Calibri"/>
          <w:b w:val="0"/>
          <w:i/>
          <w:color w:val="404040"/>
          <w:sz w:val="22"/>
        </w:rPr>
        <w:t>The Principal and the Referral Partner are referred to individually as a "Party" and collectively as the "Parties".</w:t>
      </w:r>
    </w:p>
    <w:p/>
    <w:p>
      <w:pPr>
        <w:pStyle w:val="Heading1"/>
        <w:jc w:val="left"/>
      </w:pPr>
      <w:r>
        <w:rPr>
          <w:b/>
          <w:color w:val="C9A432"/>
          <w:sz w:val="28"/>
        </w:rPr>
        <w:t>2.  DEFINITIONS</w:t>
      </w:r>
    </w:p>
    <w:p>
      <w:pPr>
        <w:spacing w:after="80"/>
        <w:ind w:left="283"/>
      </w:pPr>
      <w:r>
        <w:rPr>
          <w:b/>
          <w:sz w:val="22"/>
        </w:rPr>
        <w:t xml:space="preserve">“Agreement”  </w:t>
      </w:r>
      <w:r>
        <w:rPr>
          <w:sz w:val="22"/>
        </w:rPr>
        <w:t>means this Referral Commission Agreement, including all schedules and annexes.</w:t>
      </w:r>
    </w:p>
    <w:p>
      <w:pPr>
        <w:spacing w:after="80"/>
        <w:ind w:left="283"/>
      </w:pPr>
      <w:r>
        <w:rPr>
          <w:b/>
          <w:sz w:val="22"/>
        </w:rPr>
        <w:t xml:space="preserve">“BESS”  </w:t>
      </w:r>
      <w:r>
        <w:rPr>
          <w:sz w:val="22"/>
        </w:rPr>
        <w:t>means Battery Energy Storage System — a containerised, grid-connected energy storage installation forming part of a utility-scale renewable energy project.</w:t>
      </w:r>
    </w:p>
    <w:p>
      <w:pPr>
        <w:spacing w:after="80"/>
        <w:ind w:left="283"/>
      </w:pPr>
      <w:r>
        <w:rPr>
          <w:b/>
          <w:sz w:val="22"/>
        </w:rPr>
        <w:t xml:space="preserve">“EPC Contract”  </w:t>
      </w:r>
      <w:r>
        <w:rPr>
          <w:sz w:val="22"/>
        </w:rPr>
        <w:t>means the Engineering, Procurement, and Construction (turnkey) contract signed between the Principal and a Referred Client for the supply and installation of a BESS system.</w:t>
      </w:r>
    </w:p>
    <w:p>
      <w:pPr>
        <w:spacing w:after="80"/>
        <w:ind w:left="283"/>
      </w:pPr>
      <w:r>
        <w:rPr>
          <w:b/>
          <w:sz w:val="22"/>
        </w:rPr>
        <w:t xml:space="preserve">“Referred Client”  </w:t>
      </w:r>
      <w:r>
        <w:rPr>
          <w:sz w:val="22"/>
        </w:rPr>
        <w:t>means a legal entity or natural person introduced by the Referral Partner to the Principal pursuant to this Agreement, who subsequently signs an EPC Contract with the Principal.</w:t>
      </w:r>
    </w:p>
    <w:p>
      <w:pPr>
        <w:spacing w:after="80"/>
        <w:ind w:left="283"/>
      </w:pPr>
      <w:r>
        <w:rPr>
          <w:b/>
          <w:sz w:val="22"/>
        </w:rPr>
        <w:t xml:space="preserve">“Referral”  </w:t>
      </w:r>
      <w:r>
        <w:rPr>
          <w:sz w:val="22"/>
        </w:rPr>
        <w:t>means a formal written notification by the Referral Partner to the Principal identifying a prospective client, their contact details, and the relevant PV park(s).</w:t>
      </w:r>
    </w:p>
    <w:p>
      <w:pPr>
        <w:spacing w:after="80"/>
        <w:ind w:left="283"/>
      </w:pPr>
      <w:r>
        <w:rPr>
          <w:b/>
          <w:sz w:val="22"/>
        </w:rPr>
        <w:t xml:space="preserve">“Commission”  </w:t>
      </w:r>
      <w:r>
        <w:rPr>
          <w:sz w:val="22"/>
        </w:rPr>
        <w:t>means the fee payable by the Principal to the Referral Partner upon the terms of this Agreement.</w:t>
      </w:r>
    </w:p>
    <w:p>
      <w:pPr>
        <w:spacing w:after="80"/>
        <w:ind w:left="283"/>
      </w:pPr>
      <w:r>
        <w:rPr>
          <w:b/>
          <w:sz w:val="22"/>
        </w:rPr>
        <w:t xml:space="preserve">“Contract Value”  </w:t>
      </w:r>
      <w:r>
        <w:rPr>
          <w:sz w:val="22"/>
        </w:rPr>
        <w:t>means the net value of the EPC Contract excluding VAT, as stated in the signed EPC Contract.</w:t>
      </w:r>
    </w:p>
    <w:p>
      <w:pPr>
        <w:spacing w:after="80"/>
        <w:ind w:left="283"/>
      </w:pPr>
      <w:r>
        <w:rPr>
          <w:b/>
          <w:sz w:val="22"/>
        </w:rPr>
        <w:t xml:space="preserve">“Exclusivity Period”  </w:t>
      </w:r>
      <w:r>
        <w:rPr>
          <w:sz w:val="22"/>
        </w:rPr>
        <w:t>means the twelve (12) month period following acceptance of a valid Referral during which the Commission entitlement is preserved.</w:t>
      </w:r>
    </w:p>
    <w:p>
      <w:pPr>
        <w:spacing w:after="80"/>
        <w:ind w:left="283"/>
      </w:pPr>
      <w:r>
        <w:rPr>
          <w:b/>
          <w:sz w:val="22"/>
        </w:rPr>
        <w:t xml:space="preserve">“Pipeline”  </w:t>
      </w:r>
      <w:r>
        <w:rPr>
          <w:sz w:val="22"/>
        </w:rPr>
        <w:t>means the Principal's internal register of active prospects already engaged prior to the Referral.</w:t>
      </w:r>
    </w:p>
    <w:p/>
    <w:p>
      <w:pPr>
        <w:pStyle w:val="Heading1"/>
        <w:jc w:val="left"/>
      </w:pPr>
      <w:r>
        <w:rPr>
          <w:b/>
          <w:color w:val="C9A432"/>
          <w:sz w:val="28"/>
        </w:rPr>
        <w:t>3.  APPOINTMENT</w:t>
      </w:r>
    </w:p>
    <w:p>
      <w:r>
        <w:rPr>
          <w:rFonts w:ascii="Calibri" w:hAnsi="Calibri"/>
          <w:b w:val="0"/>
          <w:i w:val="0"/>
          <w:color w:val="000000"/>
          <w:sz w:val="22"/>
        </w:rPr>
        <w:t>3.1  The Principal hereby appoints the Referral Partner as a non-exclusive referral agent for the purpose of identifying and introducing potential clients for the Principal's BESS EPC turnkey services in Cyprus.</w:t>
      </w:r>
    </w:p>
    <w:p/>
    <w:p>
      <w:r>
        <w:rPr>
          <w:rFonts w:ascii="Calibri" w:hAnsi="Calibri"/>
          <w:b w:val="0"/>
          <w:i w:val="0"/>
          <w:color w:val="000000"/>
          <w:sz w:val="22"/>
        </w:rPr>
        <w:t>3.2  The Referral Partner has no authority to negotiate pricing, make representations, accept orders, or enter into any contractual commitment on behalf of the Principal. All client negotiations and agreements are conducted solely by the Principal.</w:t>
      </w:r>
    </w:p>
    <w:p/>
    <w:p>
      <w:r>
        <w:rPr>
          <w:rFonts w:ascii="Calibri" w:hAnsi="Calibri"/>
          <w:b w:val="0"/>
          <w:i w:val="0"/>
          <w:color w:val="000000"/>
          <w:sz w:val="22"/>
        </w:rPr>
        <w:t>3.3  The Referral Partner acts as an independent contractor. Nothing in this Agreement creates an employment, partnership, joint venture, or agency relationship beyond the limited referral scope described herein.</w:t>
      </w:r>
    </w:p>
    <w:p/>
    <w:p>
      <w:pPr>
        <w:pStyle w:val="Heading1"/>
        <w:jc w:val="left"/>
      </w:pPr>
      <w:r>
        <w:rPr>
          <w:b/>
          <w:color w:val="C9A432"/>
          <w:sz w:val="28"/>
        </w:rPr>
        <w:t>4.  REFERRAL PROCESS</w:t>
      </w:r>
    </w:p>
    <w:p>
      <w:pPr>
        <w:spacing w:before="80" w:after="80"/>
      </w:pPr>
      <w:r>
        <w:rPr>
          <w:b/>
          <w:color w:val="1A365D"/>
          <w:sz w:val="22"/>
        </w:rPr>
        <w:t xml:space="preserve">Step 1 — Notify:  </w:t>
      </w:r>
      <w:r>
        <w:rPr>
          <w:sz w:val="22"/>
        </w:rPr>
        <w:t>The Referral Partner submits a written Referral to the Principal (by email to office@lighthief.com) providing: (a) client / company name; (b) contact person and role; (c) PV park location(s) and licensed capacity (MW); and (d) estimated project timeline.</w:t>
      </w:r>
    </w:p>
    <w:p>
      <w:pPr>
        <w:spacing w:before="80" w:after="80"/>
      </w:pPr>
      <w:r>
        <w:rPr>
          <w:b/>
          <w:color w:val="1A365D"/>
          <w:sz w:val="22"/>
        </w:rPr>
        <w:t xml:space="preserve">Step 2 — Validation:  </w:t>
      </w:r>
      <w:r>
        <w:rPr>
          <w:sz w:val="22"/>
        </w:rPr>
        <w:t>The Principal shall confirm in writing within three (3) business days whether the Referral is valid (i.e. the prospective client is not already in the Principal's active Pipeline). A valid Referral triggers the Exclusivity Period.</w:t>
      </w:r>
    </w:p>
    <w:p>
      <w:pPr>
        <w:spacing w:before="80" w:after="80"/>
      </w:pPr>
      <w:r>
        <w:rPr>
          <w:b/>
          <w:color w:val="1A365D"/>
          <w:sz w:val="22"/>
        </w:rPr>
        <w:t xml:space="preserve">Step 3 — Introduction:  </w:t>
      </w:r>
      <w:r>
        <w:rPr>
          <w:sz w:val="22"/>
        </w:rPr>
        <w:t>The Referral Partner facilitates an introductory meeting, call, or written introduction between the prospective client and the Principal.</w:t>
      </w:r>
    </w:p>
    <w:p>
      <w:pPr>
        <w:spacing w:before="80" w:after="80"/>
      </w:pPr>
      <w:r>
        <w:rPr>
          <w:b/>
          <w:color w:val="1A365D"/>
          <w:sz w:val="22"/>
        </w:rPr>
        <w:t xml:space="preserve">Step 4 — Sales Process:  </w:t>
      </w:r>
      <w:r>
        <w:rPr>
          <w:sz w:val="22"/>
        </w:rPr>
        <w:t>The Principal manages all subsequent sales activity, technical proposals, site assessments, pricing, and contract negotiations independently.</w:t>
      </w:r>
    </w:p>
    <w:p>
      <w:pPr>
        <w:spacing w:before="80" w:after="80"/>
      </w:pPr>
      <w:r>
        <w:rPr>
          <w:b/>
          <w:color w:val="1A365D"/>
          <w:sz w:val="22"/>
        </w:rPr>
        <w:t xml:space="preserve">Step 5 — Commission:  </w:t>
      </w:r>
      <w:r>
        <w:rPr>
          <w:sz w:val="22"/>
        </w:rPr>
        <w:t>Upon execution of an EPC Contract with the Referred Client, the Commission becomes payable in accordance with Schedule A hereto.</w:t>
      </w:r>
    </w:p>
    <w:p/>
    <w:p>
      <w:pPr>
        <w:pStyle w:val="Heading1"/>
        <w:jc w:val="left"/>
      </w:pPr>
      <w:r>
        <w:rPr>
          <w:b/>
          <w:color w:val="C9A432"/>
          <w:sz w:val="28"/>
        </w:rPr>
        <w:t>5.  COMMISSION STRUCTURE</w:t>
      </w:r>
    </w:p>
    <w:p>
      <w:r>
        <w:rPr>
          <w:rFonts w:ascii="Calibri" w:hAnsi="Calibri"/>
          <w:b w:val="0"/>
          <w:i w:val="0"/>
          <w:color w:val="000000"/>
          <w:sz w:val="22"/>
        </w:rPr>
        <w:t>The Commission rate applicable to this Agreement is confirmed in the table below and in Schedule A. The applicable Tier is determined at the time of Referral validation and recorded in Schedule A.</w:t>
      </w:r>
    </w:p>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A365D"/>
          </w:tcPr>
          <w:p>
            <w:r>
              <w:rPr>
                <w:b/>
                <w:color w:val="FFFFFF"/>
                <w:sz w:val="20"/>
              </w:rPr>
              <w:t>Tier</w:t>
            </w:r>
          </w:p>
        </w:tc>
        <w:tc>
          <w:tcPr>
            <w:tcW w:type="dxa" w:w="2209"/>
            <w:shd w:val="clear" w:color="auto" w:fill="1A365D"/>
          </w:tcPr>
          <w:p>
            <w:r>
              <w:rPr>
                <w:b/>
                <w:color w:val="FFFFFF"/>
                <w:sz w:val="20"/>
              </w:rPr>
              <w:t>Qualification Criteria</w:t>
            </w:r>
          </w:p>
        </w:tc>
        <w:tc>
          <w:tcPr>
            <w:tcW w:type="dxa" w:w="2209"/>
            <w:shd w:val="clear" w:color="auto" w:fill="1A365D"/>
          </w:tcPr>
          <w:p>
            <w:r>
              <w:rPr>
                <w:b/>
                <w:color w:val="FFFFFF"/>
                <w:sz w:val="20"/>
              </w:rPr>
              <w:t>Commission Rate</w:t>
            </w:r>
          </w:p>
        </w:tc>
        <w:tc>
          <w:tcPr>
            <w:tcW w:type="dxa" w:w="2209"/>
            <w:shd w:val="clear" w:color="auto" w:fill="1A365D"/>
          </w:tcPr>
          <w:p>
            <w:r>
              <w:rPr>
                <w:b/>
                <w:color w:val="FFFFFF"/>
                <w:sz w:val="20"/>
              </w:rPr>
              <w:t>Payment Trigger</w:t>
            </w:r>
          </w:p>
        </w:tc>
      </w:tr>
      <w:tr>
        <w:tc>
          <w:tcPr>
            <w:tcW w:type="dxa" w:w="2209"/>
          </w:tcPr>
          <w:p>
            <w:r>
              <w:rPr>
                <w:b/>
                <w:sz w:val="20"/>
              </w:rPr>
              <w:t>Tier A — Introduction</w:t>
            </w:r>
          </w:p>
        </w:tc>
        <w:tc>
          <w:tcPr>
            <w:tcW w:type="dxa" w:w="2209"/>
          </w:tcPr>
          <w:p>
            <w:r>
              <w:rPr>
                <w:sz w:val="20"/>
              </w:rPr>
              <w:t>Referral Partner provides client name, contact, and facilitates an introductory meeting</w:t>
            </w:r>
          </w:p>
        </w:tc>
        <w:tc>
          <w:tcPr>
            <w:tcW w:type="dxa" w:w="2209"/>
          </w:tcPr>
          <w:p>
            <w:r>
              <w:rPr>
                <w:sz w:val="20"/>
              </w:rPr>
              <w:t>2.0% of Contract Value</w:t>
            </w:r>
          </w:p>
        </w:tc>
        <w:tc>
          <w:tcPr>
            <w:tcW w:type="dxa" w:w="2209"/>
          </w:tcPr>
          <w:p>
            <w:r>
              <w:rPr>
                <w:sz w:val="20"/>
              </w:rPr>
              <w:t>Client signs EPC Contract</w:t>
            </w:r>
          </w:p>
        </w:tc>
      </w:tr>
      <w:tr>
        <w:tc>
          <w:tcPr>
            <w:tcW w:type="dxa" w:w="2209"/>
          </w:tcPr>
          <w:p>
            <w:r>
              <w:rPr>
                <w:b/>
                <w:sz w:val="20"/>
              </w:rPr>
              <w:t>Tier B — Qualified Lead</w:t>
            </w:r>
          </w:p>
        </w:tc>
        <w:tc>
          <w:tcPr>
            <w:tcW w:type="dxa" w:w="2209"/>
          </w:tcPr>
          <w:p>
            <w:r>
              <w:rPr>
                <w:sz w:val="20"/>
              </w:rPr>
              <w:t>Referred Client has confirmed intent to proceed (licensed PV park, budget confirmed)</w:t>
            </w:r>
          </w:p>
        </w:tc>
        <w:tc>
          <w:tcPr>
            <w:tcW w:type="dxa" w:w="2209"/>
          </w:tcPr>
          <w:p>
            <w:r>
              <w:rPr>
                <w:sz w:val="20"/>
              </w:rPr>
              <w:t>3.0% of Contract Value</w:t>
            </w:r>
          </w:p>
        </w:tc>
        <w:tc>
          <w:tcPr>
            <w:tcW w:type="dxa" w:w="2209"/>
          </w:tcPr>
          <w:p>
            <w:r>
              <w:rPr>
                <w:sz w:val="20"/>
              </w:rPr>
              <w:t>Client signs EPC Contract</w:t>
            </w:r>
          </w:p>
        </w:tc>
      </w:tr>
      <w:tr>
        <w:tc>
          <w:tcPr>
            <w:tcW w:type="dxa" w:w="2209"/>
          </w:tcPr>
          <w:p>
            <w:r>
              <w:rPr>
                <w:b/>
                <w:sz w:val="20"/>
              </w:rPr>
              <w:t>Tier C — Multi-Project</w:t>
            </w:r>
          </w:p>
        </w:tc>
        <w:tc>
          <w:tcPr>
            <w:tcW w:type="dxa" w:w="2209"/>
          </w:tcPr>
          <w:p>
            <w:r>
              <w:rPr>
                <w:sz w:val="20"/>
              </w:rPr>
              <w:t>Referred Client has two (2) or more PV parks to equip</w:t>
            </w:r>
          </w:p>
        </w:tc>
        <w:tc>
          <w:tcPr>
            <w:tcW w:type="dxa" w:w="2209"/>
          </w:tcPr>
          <w:p>
            <w:r>
              <w:rPr>
                <w:sz w:val="20"/>
              </w:rPr>
              <w:t>3.5% of Contract Value</w:t>
            </w:r>
          </w:p>
        </w:tc>
        <w:tc>
          <w:tcPr>
            <w:tcW w:type="dxa" w:w="2209"/>
          </w:tcPr>
          <w:p>
            <w:r>
              <w:rPr>
                <w:sz w:val="20"/>
              </w:rPr>
              <w:t>Per EPC Contract signed</w:t>
            </w:r>
          </w:p>
        </w:tc>
      </w:tr>
    </w:tbl>
    <w:p/>
    <w:p>
      <w:pPr>
        <w:pStyle w:val="Heading2"/>
        <w:jc w:val="left"/>
      </w:pPr>
      <w:r>
        <w:rPr>
          <w:b/>
          <w:color w:val="C9A432"/>
          <w:sz w:val="24"/>
        </w:rPr>
        <w:t>5.1  Commission Cap</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Contract Value Band</w:t>
            </w:r>
          </w:p>
        </w:tc>
        <w:tc>
          <w:tcPr>
            <w:tcW w:type="dxa" w:w="4419"/>
            <w:shd w:val="clear" w:color="auto" w:fill="1A365D"/>
          </w:tcPr>
          <w:p>
            <w:r>
              <w:rPr>
                <w:b/>
                <w:color w:val="FFFFFF"/>
                <w:sz w:val="20"/>
              </w:rPr>
              <w:t>Commission Calculation</w:t>
            </w:r>
          </w:p>
        </w:tc>
      </w:tr>
      <w:tr>
        <w:tc>
          <w:tcPr>
            <w:tcW w:type="dxa" w:w="4419"/>
          </w:tcPr>
          <w:p>
            <w:r>
              <w:rPr>
                <w:b/>
                <w:sz w:val="20"/>
              </w:rPr>
              <w:t>Up to €3,000,000 Contract Value</w:t>
            </w:r>
          </w:p>
        </w:tc>
        <w:tc>
          <w:tcPr>
            <w:tcW w:type="dxa" w:w="4419"/>
          </w:tcPr>
          <w:p>
            <w:r>
              <w:rPr>
                <w:color w:val="000000"/>
                <w:sz w:val="20"/>
              </w:rPr>
              <w:t>Standard rate applies — no cap</w:t>
            </w:r>
          </w:p>
        </w:tc>
      </w:tr>
      <w:tr>
        <w:tc>
          <w:tcPr>
            <w:tcW w:type="dxa" w:w="4419"/>
          </w:tcPr>
          <w:p>
            <w:r>
              <w:rPr>
                <w:b/>
                <w:sz w:val="20"/>
              </w:rPr>
              <w:t>€3,000,001 — €10,000,000</w:t>
            </w:r>
          </w:p>
        </w:tc>
        <w:tc>
          <w:tcPr>
            <w:tcW w:type="dxa" w:w="4419"/>
          </w:tcPr>
          <w:p>
            <w:r>
              <w:rPr>
                <w:color w:val="000000"/>
                <w:sz w:val="20"/>
              </w:rPr>
              <w:t>Standard rate on first €3,000,000; 1.5% on the balance above €3,000,000</w:t>
            </w:r>
          </w:p>
        </w:tc>
      </w:tr>
      <w:tr>
        <w:tc>
          <w:tcPr>
            <w:tcW w:type="dxa" w:w="4419"/>
          </w:tcPr>
          <w:p>
            <w:r>
              <w:rPr>
                <w:b/>
                <w:sz w:val="20"/>
              </w:rPr>
              <w:t>Above €10,000,000</w:t>
            </w:r>
          </w:p>
        </w:tc>
        <w:tc>
          <w:tcPr>
            <w:tcW w:type="dxa" w:w="4419"/>
          </w:tcPr>
          <w:p>
            <w:r>
              <w:rPr>
                <w:color w:val="000000"/>
                <w:sz w:val="20"/>
              </w:rPr>
              <w:t>By separate written agreement between the Parties</w:t>
            </w:r>
          </w:p>
        </w:tc>
      </w:tr>
    </w:tbl>
    <w:p/>
    <w:p>
      <w:pPr>
        <w:pStyle w:val="Heading2"/>
        <w:jc w:val="left"/>
      </w:pPr>
      <w:r>
        <w:rPr>
          <w:b/>
          <w:color w:val="C9A432"/>
          <w:sz w:val="24"/>
        </w:rPr>
        <w:t>5.2  Commission Basis</w:t>
      </w:r>
    </w:p>
    <w:p>
      <w:pPr>
        <w:spacing w:before="80" w:after="80"/>
      </w:pPr>
      <w:r>
        <w:rPr>
          <w:b/>
          <w:color w:val="000000"/>
          <w:sz w:val="22"/>
        </w:rPr>
        <w:t xml:space="preserve">5.2.1.  </w:t>
      </w:r>
      <w:r>
        <w:rPr>
          <w:b/>
          <w:color w:val="000000"/>
          <w:sz w:val="22"/>
          <w:u w:val="single"/>
        </w:rPr>
        <w:t xml:space="preserve">Net Value.  </w:t>
      </w:r>
      <w:r>
        <w:rPr>
          <w:color w:val="000000"/>
          <w:sz w:val="22"/>
        </w:rPr>
        <w:t>Commission is calculated on the net Contract Value, excluding VAT, as stated in the signed EPC Contract.</w:t>
      </w:r>
    </w:p>
    <w:p>
      <w:pPr>
        <w:spacing w:before="80" w:after="80"/>
      </w:pPr>
      <w:r>
        <w:rPr>
          <w:b/>
          <w:color w:val="000000"/>
          <w:sz w:val="22"/>
        </w:rPr>
        <w:t xml:space="preserve">5.2.2.  </w:t>
      </w:r>
      <w:r>
        <w:rPr>
          <w:b/>
          <w:color w:val="000000"/>
          <w:sz w:val="22"/>
          <w:u w:val="single"/>
        </w:rPr>
        <w:t xml:space="preserve">Multiple Parks.  </w:t>
      </w:r>
      <w:r>
        <w:rPr>
          <w:color w:val="000000"/>
          <w:sz w:val="22"/>
        </w:rPr>
        <w:t>Where the Referred Client signs EPC Contracts for multiple parks, a separate Commission is calculated on each individual Contract Value.</w:t>
      </w:r>
    </w:p>
    <w:p>
      <w:pPr>
        <w:spacing w:before="80" w:after="80"/>
      </w:pPr>
      <w:r>
        <w:rPr>
          <w:b/>
          <w:color w:val="000000"/>
          <w:sz w:val="22"/>
        </w:rPr>
        <w:t xml:space="preserve">5.2.3.  </w:t>
      </w:r>
      <w:r>
        <w:rPr>
          <w:b/>
          <w:color w:val="000000"/>
          <w:sz w:val="22"/>
          <w:u w:val="single"/>
        </w:rPr>
        <w:t xml:space="preserve">Variations.  </w:t>
      </w:r>
      <w:r>
        <w:rPr>
          <w:color w:val="000000"/>
          <w:sz w:val="22"/>
        </w:rPr>
        <w:t>If the final EPC Contract Value increases via a signed variation order, the Commission on the additional amount follows the same Tier rate.</w:t>
      </w:r>
    </w:p>
    <w:p/>
    <w:p>
      <w:pPr>
        <w:pStyle w:val="Heading1"/>
        <w:jc w:val="left"/>
      </w:pPr>
      <w:r>
        <w:rPr>
          <w:b/>
          <w:color w:val="C9A432"/>
          <w:sz w:val="28"/>
        </w:rPr>
        <w:t>6.  PAYMENT TERMS</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Milestone</w:t>
            </w:r>
          </w:p>
        </w:tc>
        <w:tc>
          <w:tcPr>
            <w:tcW w:type="dxa" w:w="4419"/>
            <w:shd w:val="clear" w:color="auto" w:fill="1A365D"/>
          </w:tcPr>
          <w:p>
            <w:r>
              <w:rPr>
                <w:b/>
                <w:color w:val="FFFFFF"/>
                <w:sz w:val="20"/>
              </w:rPr>
              <w:t>Detail</w:t>
            </w:r>
          </w:p>
        </w:tc>
      </w:tr>
      <w:tr>
        <w:tc>
          <w:tcPr>
            <w:tcW w:type="dxa" w:w="4419"/>
          </w:tcPr>
          <w:p>
            <w:r>
              <w:rPr>
                <w:b/>
                <w:sz w:val="20"/>
              </w:rPr>
              <w:t>Instalment 1 — 30% of Commission</w:t>
            </w:r>
          </w:p>
        </w:tc>
        <w:tc>
          <w:tcPr>
            <w:tcW w:type="dxa" w:w="4419"/>
          </w:tcPr>
          <w:p>
            <w:r>
              <w:rPr>
                <w:color w:val="000000"/>
                <w:sz w:val="20"/>
              </w:rPr>
              <w:t>Invoiced and payable within 30 days of the Principal receiving the Referred Client's advance payment under the EPC Contract</w:t>
            </w:r>
          </w:p>
        </w:tc>
      </w:tr>
      <w:tr>
        <w:tc>
          <w:tcPr>
            <w:tcW w:type="dxa" w:w="4419"/>
          </w:tcPr>
          <w:p>
            <w:r>
              <w:rPr>
                <w:b/>
                <w:sz w:val="20"/>
              </w:rPr>
              <w:t>Instalment 2 — 70% of Commission</w:t>
            </w:r>
          </w:p>
        </w:tc>
        <w:tc>
          <w:tcPr>
            <w:tcW w:type="dxa" w:w="4419"/>
          </w:tcPr>
          <w:p>
            <w:r>
              <w:rPr>
                <w:color w:val="000000"/>
                <w:sz w:val="20"/>
              </w:rPr>
              <w:t>Invoiced and payable within 30 days of the Principal receiving the Referred Client's final payment under the EPC Contract</w:t>
            </w:r>
          </w:p>
        </w:tc>
      </w:tr>
      <w:tr>
        <w:tc>
          <w:tcPr>
            <w:tcW w:type="dxa" w:w="4419"/>
          </w:tcPr>
          <w:p>
            <w:r>
              <w:rPr>
                <w:b/>
                <w:sz w:val="20"/>
              </w:rPr>
              <w:t>Payment Method</w:t>
            </w:r>
          </w:p>
        </w:tc>
        <w:tc>
          <w:tcPr>
            <w:tcW w:type="dxa" w:w="4419"/>
          </w:tcPr>
          <w:p>
            <w:r>
              <w:rPr>
                <w:color w:val="000000"/>
                <w:sz w:val="20"/>
              </w:rPr>
              <w:t>Bank transfer to the Referral Partner's designated account (Schedule B)</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Late Payment Interest</w:t>
            </w:r>
          </w:p>
        </w:tc>
        <w:tc>
          <w:tcPr>
            <w:tcW w:type="dxa" w:w="4419"/>
          </w:tcPr>
          <w:p>
            <w:r>
              <w:rPr>
                <w:color w:val="000000"/>
                <w:sz w:val="20"/>
              </w:rPr>
              <w:t>2% per month on overdue amounts, accruing from the due date</w:t>
            </w:r>
          </w:p>
        </w:tc>
      </w:tr>
    </w:tbl>
    <w:p/>
    <w:p>
      <w:r>
        <w:rPr>
          <w:rFonts w:ascii="Calibri" w:hAnsi="Calibri"/>
          <w:b w:val="0"/>
          <w:i/>
          <w:color w:val="404040"/>
          <w:sz w:val="22"/>
        </w:rPr>
        <w:t>No Commission is payable if the Referred Client cancels the EPC Contract before final payment, or if any partial payment already made by the Referred Client is refunded by the Principal.</w:t>
      </w:r>
    </w:p>
    <w:p/>
    <w:p>
      <w:pPr>
        <w:pStyle w:val="Heading1"/>
        <w:jc w:val="left"/>
      </w:pPr>
      <w:r>
        <w:rPr>
          <w:b/>
          <w:color w:val="C9A432"/>
          <w:sz w:val="28"/>
        </w:rPr>
        <w:t>7.  EXCLUSIVITY PERIOD &amp; REFERRAL PROTECTION</w:t>
      </w:r>
    </w:p>
    <w:p>
      <w:pPr>
        <w:spacing w:before="80" w:after="80"/>
      </w:pPr>
      <w:r>
        <w:rPr>
          <w:b/>
          <w:color w:val="000000"/>
          <w:sz w:val="22"/>
        </w:rPr>
        <w:t xml:space="preserve">7.1.  </w:t>
      </w:r>
      <w:r>
        <w:rPr>
          <w:b/>
          <w:color w:val="000000"/>
          <w:sz w:val="22"/>
          <w:u w:val="single"/>
        </w:rPr>
        <w:t xml:space="preserve">Duration.  </w:t>
      </w:r>
      <w:r>
        <w:rPr>
          <w:color w:val="000000"/>
          <w:sz w:val="22"/>
        </w:rPr>
        <w:t>Once a Referral is validated in writing by the Principal, the Referral Partner is entitled to Commission if the Referred Client signs an EPC Contract within twelve (12) months of the validation date.</w:t>
      </w:r>
    </w:p>
    <w:p>
      <w:pPr>
        <w:spacing w:before="80" w:after="80"/>
      </w:pPr>
      <w:r>
        <w:rPr>
          <w:b/>
          <w:color w:val="000000"/>
          <w:sz w:val="22"/>
        </w:rPr>
        <w:t xml:space="preserve">7.2.  </w:t>
      </w:r>
      <w:r>
        <w:rPr>
          <w:b/>
          <w:color w:val="000000"/>
          <w:sz w:val="22"/>
          <w:u w:val="single"/>
        </w:rPr>
        <w:t xml:space="preserve">Extension.  </w:t>
      </w:r>
      <w:r>
        <w:rPr>
          <w:color w:val="000000"/>
          <w:sz w:val="22"/>
        </w:rPr>
        <w:t>The Exclusivity Period may be extended by mutual written agreement if the Referred Client is actively engaged in contract negotiation at the expiry date.</w:t>
      </w:r>
    </w:p>
    <w:p>
      <w:pPr>
        <w:spacing w:before="80" w:after="80"/>
      </w:pPr>
      <w:r>
        <w:rPr>
          <w:b/>
          <w:color w:val="000000"/>
          <w:sz w:val="22"/>
        </w:rPr>
        <w:t xml:space="preserve">7.3.  </w:t>
      </w:r>
      <w:r>
        <w:rPr>
          <w:b/>
          <w:color w:val="000000"/>
          <w:sz w:val="22"/>
          <w:u w:val="single"/>
        </w:rPr>
        <w:t xml:space="preserve">Pre-existing Pipeline.  </w:t>
      </w:r>
      <w:r>
        <w:rPr>
          <w:color w:val="000000"/>
          <w:sz w:val="22"/>
        </w:rPr>
        <w:t>No Commission is payable if the prospective client was already in the Principal's active Pipeline at the time of the Referral, as notified within the three (3) business day validation window.</w:t>
      </w:r>
    </w:p>
    <w:p>
      <w:pPr>
        <w:spacing w:before="80" w:after="80"/>
      </w:pPr>
      <w:r>
        <w:rPr>
          <w:b/>
          <w:color w:val="000000"/>
          <w:sz w:val="22"/>
        </w:rPr>
        <w:t xml:space="preserve">7.4.  </w:t>
      </w:r>
      <w:r>
        <w:rPr>
          <w:b/>
          <w:color w:val="000000"/>
          <w:sz w:val="22"/>
          <w:u w:val="single"/>
        </w:rPr>
        <w:t xml:space="preserve">Direct Contact.  </w:t>
      </w:r>
      <w:r>
        <w:rPr>
          <w:color w:val="000000"/>
          <w:sz w:val="22"/>
        </w:rPr>
        <w:t>If a Referred Client contacts the Principal directly (independently of the Referral Partner) before the Referral is submitted, no Commission entitlement arises.</w:t>
      </w:r>
    </w:p>
    <w:p/>
    <w:p>
      <w:pPr>
        <w:pStyle w:val="Heading1"/>
        <w:jc w:val="left"/>
      </w:pPr>
      <w:r>
        <w:rPr>
          <w:b/>
          <w:color w:val="C9A432"/>
          <w:sz w:val="28"/>
        </w:rPr>
        <w:t>8.  OBLIGATIONS OF THE REFERRAL PARTNER</w:t>
      </w:r>
    </w:p>
    <w:p>
      <w:pPr>
        <w:spacing w:before="80" w:after="80"/>
      </w:pPr>
      <w:r>
        <w:rPr>
          <w:b/>
          <w:color w:val="000000"/>
          <w:sz w:val="22"/>
        </w:rPr>
        <w:t xml:space="preserve">8.1.  </w:t>
      </w:r>
      <w:r>
        <w:rPr>
          <w:b/>
          <w:color w:val="000000"/>
          <w:sz w:val="22"/>
          <w:u w:val="single"/>
        </w:rPr>
        <w:t xml:space="preserve">Accuracy.  </w:t>
      </w:r>
      <w:r>
        <w:rPr>
          <w:color w:val="000000"/>
          <w:sz w:val="22"/>
        </w:rPr>
        <w:t>The Referral Partner shall provide accurate, complete, and up-to-date information about each Referred Client and their project.</w:t>
      </w:r>
    </w:p>
    <w:p>
      <w:pPr>
        <w:spacing w:before="80" w:after="80"/>
      </w:pPr>
      <w:r>
        <w:rPr>
          <w:b/>
          <w:color w:val="000000"/>
          <w:sz w:val="22"/>
        </w:rPr>
        <w:t xml:space="preserve">8.2.  </w:t>
      </w:r>
      <w:r>
        <w:rPr>
          <w:b/>
          <w:color w:val="000000"/>
          <w:sz w:val="22"/>
          <w:u w:val="single"/>
        </w:rPr>
        <w:t xml:space="preserve">No Misrepresentation.  </w:t>
      </w:r>
      <w:r>
        <w:rPr>
          <w:color w:val="000000"/>
          <w:sz w:val="22"/>
        </w:rPr>
        <w:t>The Referral Partner shall not make any false, misleading, or unauthorised representations about the Principal, its products, pricing, or capabilities.</w:t>
      </w:r>
    </w:p>
    <w:p>
      <w:pPr>
        <w:spacing w:before="80" w:after="80"/>
      </w:pPr>
      <w:r>
        <w:rPr>
          <w:b/>
          <w:color w:val="000000"/>
          <w:sz w:val="22"/>
        </w:rPr>
        <w:t xml:space="preserve">8.3.  </w:t>
      </w:r>
      <w:r>
        <w:rPr>
          <w:b/>
          <w:color w:val="000000"/>
          <w:sz w:val="22"/>
          <w:u w:val="single"/>
        </w:rPr>
        <w:t xml:space="preserve">No Pricing Disclosure.  </w:t>
      </w:r>
      <w:r>
        <w:rPr>
          <w:color w:val="000000"/>
          <w:sz w:val="22"/>
        </w:rPr>
        <w:t>The Referral Partner shall not disclose or discuss specific pricing, margins, or commercial terms with any Referred Client unless expressly authorised in writing by the Principal.</w:t>
      </w:r>
    </w:p>
    <w:p>
      <w:pPr>
        <w:spacing w:before="80" w:after="80"/>
      </w:pPr>
      <w:r>
        <w:rPr>
          <w:b/>
          <w:color w:val="000000"/>
          <w:sz w:val="22"/>
        </w:rPr>
        <w:t xml:space="preserve">8.4.  </w:t>
      </w:r>
      <w:r>
        <w:rPr>
          <w:b/>
          <w:color w:val="000000"/>
          <w:sz w:val="22"/>
          <w:u w:val="single"/>
        </w:rPr>
        <w:t xml:space="preserve">Compliance.  </w:t>
      </w:r>
      <w:r>
        <w:rPr>
          <w:color w:val="000000"/>
          <w:sz w:val="22"/>
        </w:rPr>
        <w:t>The Referral Partner shall at all times comply with all applicable laws and professional regulations, including anti-bribery, anti-corruption, and data protection legislation.</w:t>
      </w:r>
    </w:p>
    <w:p>
      <w:pPr>
        <w:spacing w:before="80" w:after="80"/>
      </w:pPr>
      <w:r>
        <w:rPr>
          <w:b/>
          <w:color w:val="000000"/>
          <w:sz w:val="22"/>
        </w:rPr>
        <w:t xml:space="preserve">8.5.  </w:t>
      </w:r>
      <w:r>
        <w:rPr>
          <w:b/>
          <w:color w:val="000000"/>
          <w:sz w:val="22"/>
          <w:u w:val="single"/>
        </w:rPr>
        <w:t xml:space="preserve">Notification of Conflict.  </w:t>
      </w:r>
      <w:r>
        <w:rPr>
          <w:color w:val="000000"/>
          <w:sz w:val="22"/>
        </w:rPr>
        <w:t>The Referral Partner shall immediately disclose to the Principal any actual or potential conflict of interest in relation to any Referred Client.</w:t>
      </w:r>
    </w:p>
    <w:p/>
    <w:p>
      <w:pPr>
        <w:pStyle w:val="Heading1"/>
        <w:jc w:val="left"/>
      </w:pPr>
      <w:r>
        <w:rPr>
          <w:b/>
          <w:color w:val="C9A432"/>
          <w:sz w:val="28"/>
        </w:rPr>
        <w:t>9.  CONFIDENTIALITY</w:t>
      </w:r>
    </w:p>
    <w:p>
      <w:r>
        <w:rPr>
          <w:rFonts w:ascii="Calibri" w:hAnsi="Calibri"/>
          <w:b w:val="0"/>
          <w:i w:val="0"/>
          <w:color w:val="000000"/>
          <w:sz w:val="22"/>
        </w:rPr>
        <w:t>9.1  Each Party shall treat as strictly confidential all information received from the other Party in connection with this Agreement, including pricing, commission rates, client identities, technical specifications, and business strategies ("Confidential Information").</w:t>
      </w:r>
    </w:p>
    <w:p/>
    <w:p>
      <w:r>
        <w:rPr>
          <w:rFonts w:ascii="Calibri" w:hAnsi="Calibri"/>
          <w:b w:val="0"/>
          <w:i w:val="0"/>
          <w:color w:val="000000"/>
          <w:sz w:val="22"/>
        </w:rPr>
        <w:t>9.2  Neither Party shall disclose Confidential Information to any third party without the prior written consent of the disclosing Party, except to professional advisers bound by equivalent confidentiality obligations.</w:t>
      </w:r>
    </w:p>
    <w:p/>
    <w:p>
      <w:r>
        <w:rPr>
          <w:rFonts w:ascii="Calibri" w:hAnsi="Calibri"/>
          <w:b w:val="0"/>
          <w:i w:val="0"/>
          <w:color w:val="000000"/>
          <w:sz w:val="22"/>
        </w:rPr>
        <w:t>9.3  This obligation of confidentiality survives termination of this Agreement for a period of three (3) years.</w:t>
      </w:r>
    </w:p>
    <w:p/>
    <w:p>
      <w:pPr>
        <w:pStyle w:val="Heading1"/>
        <w:jc w:val="left"/>
      </w:pPr>
      <w:r>
        <w:rPr>
          <w:b/>
          <w:color w:val="C9A432"/>
          <w:sz w:val="28"/>
        </w:rPr>
        <w:t>10.  TERM &amp; TERMINATION</w:t>
      </w:r>
    </w:p>
    <w:p>
      <w:pPr>
        <w:spacing w:before="80" w:after="80"/>
      </w:pPr>
      <w:r>
        <w:rPr>
          <w:b/>
          <w:color w:val="000000"/>
          <w:sz w:val="22"/>
        </w:rPr>
        <w:t xml:space="preserve">10.1.  </w:t>
      </w:r>
      <w:r>
        <w:rPr>
          <w:b/>
          <w:color w:val="000000"/>
          <w:sz w:val="22"/>
          <w:u w:val="single"/>
        </w:rPr>
        <w:t xml:space="preserve">Term.  </w:t>
      </w:r>
      <w:r>
        <w:rPr>
          <w:color w:val="000000"/>
          <w:sz w:val="22"/>
        </w:rPr>
        <w:t>This Agreement commences on the date of last signature and continues for a period of twenty-four (24) months, unless terminated earlier in accordance with this clause.</w:t>
      </w:r>
    </w:p>
    <w:p>
      <w:pPr>
        <w:spacing w:before="80" w:after="80"/>
      </w:pPr>
      <w:r>
        <w:rPr>
          <w:b/>
          <w:color w:val="000000"/>
          <w:sz w:val="22"/>
        </w:rPr>
        <w:t xml:space="preserve">10.2.  </w:t>
      </w:r>
      <w:r>
        <w:rPr>
          <w:b/>
          <w:color w:val="000000"/>
          <w:sz w:val="22"/>
          <w:u w:val="single"/>
        </w:rPr>
        <w:t xml:space="preserve">Renewal.  </w:t>
      </w:r>
      <w:r>
        <w:rPr>
          <w:color w:val="000000"/>
          <w:sz w:val="22"/>
        </w:rPr>
        <w:t>The Agreement shall automatically renew for successive twelve (12) month periods unless either Party gives thirty (30) days written notice of non-renewal before the end of the then-current term.</w:t>
      </w:r>
    </w:p>
    <w:p>
      <w:pPr>
        <w:spacing w:before="80" w:after="80"/>
      </w:pPr>
      <w:r>
        <w:rPr>
          <w:b/>
          <w:color w:val="000000"/>
          <w:sz w:val="22"/>
        </w:rPr>
        <w:t xml:space="preserve">10.3.  </w:t>
      </w:r>
      <w:r>
        <w:rPr>
          <w:b/>
          <w:color w:val="000000"/>
          <w:sz w:val="22"/>
          <w:u w:val="single"/>
        </w:rPr>
        <w:t xml:space="preserve">Termination for Convenience.  </w:t>
      </w:r>
      <w:r>
        <w:rPr>
          <w:color w:val="000000"/>
          <w:sz w:val="22"/>
        </w:rPr>
        <w:t>Either Party may terminate this Agreement for convenience on thirty (30) days written notice. Commission entitlement for Referrals already validated before the termination notice date is preserved.</w:t>
      </w:r>
    </w:p>
    <w:p>
      <w:pPr>
        <w:spacing w:before="80" w:after="80"/>
      </w:pPr>
      <w:r>
        <w:rPr>
          <w:b/>
          <w:color w:val="000000"/>
          <w:sz w:val="22"/>
        </w:rPr>
        <w:t xml:space="preserve">10.4.  </w:t>
      </w:r>
      <w:r>
        <w:rPr>
          <w:b/>
          <w:color w:val="000000"/>
          <w:sz w:val="22"/>
          <w:u w:val="single"/>
        </w:rPr>
        <w:t xml:space="preserve">Termination for Cause.  </w:t>
      </w:r>
      <w:r>
        <w:rPr>
          <w:color w:val="000000"/>
          <w:sz w:val="22"/>
        </w:rPr>
        <w:t>The Principal may terminate immediately on written notice if the Referral Partner: (a) breaches Clause 8 or 9; (b) is found to have engaged in fraudulent, corrupt, or illegal conduct; or (c) becomes insolvent. No Commission shall be payable following termination for cause.</w:t>
      </w:r>
    </w:p>
    <w:p/>
    <w:p>
      <w:pPr>
        <w:pStyle w:val="Heading1"/>
        <w:jc w:val="left"/>
      </w:pPr>
      <w:r>
        <w:rPr>
          <w:b/>
          <w:color w:val="C9A432"/>
          <w:sz w:val="28"/>
        </w:rPr>
        <w:t>11.  TAXES &amp; WITHHOLDING</w:t>
      </w:r>
    </w:p>
    <w:p>
      <w:r>
        <w:rPr>
          <w:rFonts w:ascii="Calibri" w:hAnsi="Calibri"/>
          <w:b w:val="0"/>
          <w:i w:val="0"/>
          <w:color w:val="000000"/>
          <w:sz w:val="22"/>
        </w:rPr>
        <w:t>11.1  Each Party is solely responsible for its own tax obligations arising from this Agreement. Commission amounts stated herein are exclusive of VAT.</w:t>
      </w:r>
    </w:p>
    <w:p/>
    <w:p>
      <w:r>
        <w:rPr>
          <w:rFonts w:ascii="Calibri" w:hAnsi="Calibri"/>
          <w:b w:val="0"/>
          <w:i w:val="0"/>
          <w:color w:val="000000"/>
          <w:sz w:val="22"/>
        </w:rPr>
        <w:t>11.2  Where applicable under Cyprus law, the Principal may withhold tax at source from Commission payments and shall issue the requisite withholding tax certificates. The Referral Partner is responsible for declaring Commission income to the relevant tax authorities in its jurisdiction.</w:t>
      </w:r>
    </w:p>
    <w:p/>
    <w:p>
      <w:pPr>
        <w:pStyle w:val="Heading1"/>
        <w:jc w:val="left"/>
      </w:pPr>
      <w:r>
        <w:rPr>
          <w:b/>
          <w:color w:val="C9A432"/>
          <w:sz w:val="28"/>
        </w:rPr>
        <w:t>12.  LIMITATION OF LIABILITY</w:t>
      </w:r>
    </w:p>
    <w:p>
      <w:r>
        <w:rPr>
          <w:rFonts w:ascii="Calibri" w:hAnsi="Calibri"/>
          <w:b w:val="0"/>
          <w:i w:val="0"/>
          <w:color w:val="000000"/>
          <w:sz w:val="22"/>
        </w:rPr>
        <w:t>12.1  The Principal's total liability to the Referral Partner under this Agreement shall not exceed the total Commission actually paid in the twelve (12) months preceding the relevant claim.</w:t>
      </w:r>
    </w:p>
    <w:p/>
    <w:p>
      <w:r>
        <w:rPr>
          <w:rFonts w:ascii="Calibri" w:hAnsi="Calibri"/>
          <w:b w:val="0"/>
          <w:i w:val="0"/>
          <w:color w:val="000000"/>
          <w:sz w:val="22"/>
        </w:rPr>
        <w:t>12.2  Neither Party shall be liable for indirect, consequential, or special loss, including lost profits or business opportunities, howsoever arising.</w:t>
      </w:r>
    </w:p>
    <w:p/>
    <w:p>
      <w:r>
        <w:rPr>
          <w:rFonts w:ascii="Calibri" w:hAnsi="Calibri"/>
          <w:b w:val="0"/>
          <w:i w:val="0"/>
          <w:color w:val="000000"/>
          <w:sz w:val="22"/>
        </w:rPr>
        <w:t>12.3  The Principal makes no warranty as to the commercial outcome of any EPC proposal submitted to a Referred Client, nor as to the acceptance of any quotation.</w:t>
      </w:r>
    </w:p>
    <w:p/>
    <w:p>
      <w:pPr>
        <w:pStyle w:val="Heading1"/>
        <w:jc w:val="left"/>
      </w:pPr>
      <w:r>
        <w:rPr>
          <w:b/>
          <w:color w:val="C9A432"/>
          <w:sz w:val="28"/>
        </w:rPr>
        <w:t>13.  GOVERNING LAW &amp; DISPUTE RESOLUTION</w:t>
      </w:r>
    </w:p>
    <w:p>
      <w:r>
        <w:rPr>
          <w:rFonts w:ascii="Calibri" w:hAnsi="Calibri"/>
          <w:b w:val="0"/>
          <w:i w:val="0"/>
          <w:color w:val="000000"/>
          <w:sz w:val="22"/>
        </w:rPr>
        <w:t>13.1  This Agreement is governed by, and construed in accordance with, the laws of the Republic of Cyprus.</w:t>
      </w:r>
    </w:p>
    <w:p/>
    <w:p>
      <w:r>
        <w:rPr>
          <w:rFonts w:ascii="Calibri" w:hAnsi="Calibri"/>
          <w:b w:val="0"/>
          <w:i w:val="0"/>
          <w:color w:val="000000"/>
          <w:sz w:val="22"/>
        </w:rPr>
        <w:t>13.2  The Parties shall endeavour to resolve any dispute amicably within twenty-one (21) days of written notice. Failing amicable resolution, disputes shall be subject to the exclusive jurisdiction of the courts of Limassol, Cyprus.</w:t>
      </w:r>
    </w:p>
    <w:p/>
    <w:p>
      <w:r>
        <w:rPr>
          <w:rFonts w:ascii="Calibri" w:hAnsi="Calibri"/>
          <w:b w:val="0"/>
          <w:i w:val="0"/>
          <w:color w:val="000000"/>
          <w:sz w:val="22"/>
        </w:rPr>
        <w:t>13.3  Any notice under this Agreement shall be in writing and delivered by email (with read receipt) or registered post to the addresses stated in Clause 1. Notices are effective on receipt.</w:t>
      </w:r>
    </w:p>
    <w:p/>
    <w:p>
      <w:pPr>
        <w:pStyle w:val="Heading1"/>
        <w:jc w:val="left"/>
      </w:pPr>
      <w:r>
        <w:rPr>
          <w:b/>
          <w:color w:val="C9A432"/>
          <w:sz w:val="28"/>
        </w:rPr>
        <w:t>14.  GENERAL</w:t>
      </w:r>
    </w:p>
    <w:p>
      <w:pPr>
        <w:spacing w:before="80" w:after="80"/>
      </w:pPr>
      <w:r>
        <w:rPr>
          <w:b/>
          <w:color w:val="000000"/>
          <w:sz w:val="22"/>
        </w:rPr>
        <w:t xml:space="preserve">14.1.  </w:t>
      </w:r>
      <w:r>
        <w:rPr>
          <w:b/>
          <w:color w:val="000000"/>
          <w:sz w:val="22"/>
          <w:u w:val="single"/>
        </w:rPr>
        <w:t xml:space="preserve">Entire Agreement.  </w:t>
      </w:r>
      <w:r>
        <w:rPr>
          <w:color w:val="000000"/>
          <w:sz w:val="22"/>
        </w:rPr>
        <w:t>This Agreement, together with its Schedules, constitutes the entire agreement between the Parties relating to its subject matter and supersedes all prior discussions, representations, and arrangements.</w:t>
      </w:r>
    </w:p>
    <w:p>
      <w:pPr>
        <w:spacing w:before="80" w:after="80"/>
      </w:pPr>
      <w:r>
        <w:rPr>
          <w:b/>
          <w:color w:val="000000"/>
          <w:sz w:val="22"/>
        </w:rPr>
        <w:t xml:space="preserve">14.2.  </w:t>
      </w:r>
      <w:r>
        <w:rPr>
          <w:b/>
          <w:color w:val="000000"/>
          <w:sz w:val="22"/>
          <w:u w:val="single"/>
        </w:rPr>
        <w:t xml:space="preserve">Amendments.  </w:t>
      </w:r>
      <w:r>
        <w:rPr>
          <w:color w:val="000000"/>
          <w:sz w:val="22"/>
        </w:rPr>
        <w:t>No amendment to this Agreement is valid unless made in writing and signed by authorised representatives of both Parties.</w:t>
      </w:r>
    </w:p>
    <w:p>
      <w:pPr>
        <w:spacing w:before="80" w:after="80"/>
      </w:pPr>
      <w:r>
        <w:rPr>
          <w:b/>
          <w:color w:val="000000"/>
          <w:sz w:val="22"/>
        </w:rPr>
        <w:t xml:space="preserve">14.3.  </w:t>
      </w:r>
      <w:r>
        <w:rPr>
          <w:b/>
          <w:color w:val="000000"/>
          <w:sz w:val="22"/>
          <w:u w:val="single"/>
        </w:rPr>
        <w:t xml:space="preserve">Waiver.  </w:t>
      </w:r>
      <w:r>
        <w:rPr>
          <w:color w:val="000000"/>
          <w:sz w:val="22"/>
        </w:rPr>
        <w:t>Failure to exercise, or delay in exercising, any right under this Agreement shall not constitute a waiver of that right.</w:t>
      </w:r>
    </w:p>
    <w:p>
      <w:pPr>
        <w:spacing w:before="80" w:after="80"/>
      </w:pPr>
      <w:r>
        <w:rPr>
          <w:b/>
          <w:color w:val="000000"/>
          <w:sz w:val="22"/>
        </w:rPr>
        <w:t xml:space="preserve">14.4.  </w:t>
      </w:r>
      <w:r>
        <w:rPr>
          <w:b/>
          <w:color w:val="000000"/>
          <w:sz w:val="22"/>
          <w:u w:val="single"/>
        </w:rPr>
        <w:t xml:space="preserve">Severability.  </w:t>
      </w:r>
      <w:r>
        <w:rPr>
          <w:color w:val="000000"/>
          <w:sz w:val="22"/>
        </w:rPr>
        <w:t>If any provision of this Agreement is found invalid or unenforceable, the remaining provisions shall continue in full force and effect.</w:t>
      </w:r>
    </w:p>
    <w:p>
      <w:pPr>
        <w:spacing w:before="80" w:after="80"/>
      </w:pPr>
      <w:r>
        <w:rPr>
          <w:b/>
          <w:color w:val="000000"/>
          <w:sz w:val="22"/>
        </w:rPr>
        <w:t xml:space="preserve">14.5.  </w:t>
      </w:r>
      <w:r>
        <w:rPr>
          <w:b/>
          <w:color w:val="000000"/>
          <w:sz w:val="22"/>
          <w:u w:val="single"/>
        </w:rPr>
        <w:t xml:space="preserve">Assignment.  </w:t>
      </w:r>
      <w:r>
        <w:rPr>
          <w:color w:val="000000"/>
          <w:sz w:val="22"/>
        </w:rPr>
        <w:t>The Referral Partner may not assign or transfer any rights or obligations under this Agreement without the prior written consent of the Principal.</w:t>
      </w:r>
    </w:p>
    <w:p>
      <w:pPr>
        <w:spacing w:before="80" w:after="80"/>
      </w:pPr>
      <w:r>
        <w:rPr>
          <w:b/>
          <w:color w:val="000000"/>
          <w:sz w:val="22"/>
        </w:rPr>
        <w:t xml:space="preserve">14.6.  </w:t>
      </w:r>
      <w:r>
        <w:rPr>
          <w:b/>
          <w:color w:val="000000"/>
          <w:sz w:val="22"/>
          <w:u w:val="single"/>
        </w:rPr>
        <w:t xml:space="preserve">Program Amendments.  </w:t>
      </w:r>
      <w:r>
        <w:rPr>
          <w:color w:val="000000"/>
          <w:sz w:val="22"/>
        </w:rPr>
        <w:t>The Principal reserves the right to amend Commission rates or program terms with thirty (30) days written notice. Such amendments shall not affect Commission entitlements arising from Referrals validated before the notice date.</w:t>
      </w:r>
    </w:p>
    <w:p/>
    <w:p>
      <w:r>
        <w:rPr>
          <w:color w:val="404040"/>
          <w:sz w:val="16"/>
        </w:rPr>
        <w:t>────────────────────────────────────────────────────────────────────────────────</w:t>
      </w:r>
    </w:p>
    <w:p/>
    <w:p>
      <w:pPr>
        <w:pStyle w:val="Heading1"/>
        <w:jc w:val="left"/>
      </w:pPr>
      <w:r>
        <w:rPr>
          <w:b/>
          <w:color w:val="C9A432"/>
          <w:sz w:val="28"/>
        </w:rPr>
        <w:t>EXECUTION</w:t>
      </w:r>
    </w:p>
    <w:p>
      <w:r>
        <w:rPr>
          <w:rFonts w:ascii="Calibri" w:hAnsi="Calibri"/>
          <w:b w:val="0"/>
          <w:i w:val="0"/>
          <w:color w:val="000000"/>
          <w:sz w:val="22"/>
        </w:rPr>
        <w:t>By signing below, the Parties confirm they have read, understood, and agreed to all terms and conditions of this Referral Commission Agreement.</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FOR THE REFERRAL PARTNER</w:t>
              <w:br/>
              <w:t>S.M.T. UNLIMITED GROUP LTD</w:t>
            </w:r>
          </w:p>
        </w:tc>
        <w:tc>
          <w:tcPr>
            <w:tcW w:type="dxa" w:w="4419"/>
            <w:shd w:val="clear" w:color="auto" w:fill="1A365D"/>
          </w:tcPr>
          <w:p>
            <w:r>
              <w:rPr>
                <w:b/>
                <w:color w:val="FFFFFF"/>
                <w:sz w:val="20"/>
              </w:rPr>
              <w:t>FOR THE PRINCIPAL</w:t>
              <w:br/>
              <w:t>LIGHTHIEF CYPRUS LTD</w:t>
            </w:r>
          </w:p>
        </w:tc>
      </w:tr>
      <w:tr>
        <w:tc>
          <w:tcPr>
            <w:tcW w:type="dxa" w:w="4419"/>
          </w:tcPr>
          <w:p>
            <w:r>
              <w:rPr>
                <w:color w:val="000000"/>
                <w:sz w:val="20"/>
              </w:rPr>
              <w:t>Director Name:  ______________________</w:t>
            </w:r>
          </w:p>
        </w:tc>
        <w:tc>
          <w:tcPr>
            <w:tcW w:type="dxa" w:w="4419"/>
          </w:tcPr>
          <w:p>
            <w:r>
              <w:rPr>
                <w:color w:val="000000"/>
                <w:sz w:val="20"/>
              </w:rPr>
              <w:t>Name:  Alexander Papacosta</w:t>
            </w:r>
          </w:p>
        </w:tc>
      </w:tr>
      <w:tr>
        <w:tc>
          <w:tcPr>
            <w:tcW w:type="dxa" w:w="4419"/>
          </w:tcPr>
          <w:p>
            <w:r>
              <w:rPr>
                <w:color w:val="000000"/>
                <w:sz w:val="20"/>
              </w:rPr>
            </w:r>
          </w:p>
        </w:tc>
        <w:tc>
          <w:tcPr>
            <w:tcW w:type="dxa" w:w="4419"/>
          </w:tcPr>
          <w:p>
            <w:r>
              <w:rPr>
                <w:color w:val="000000"/>
                <w:sz w:val="20"/>
              </w:rPr>
              <w:t>Capacity:  Managing Director</w:t>
            </w:r>
          </w:p>
        </w:tc>
      </w:tr>
      <w:tr>
        <w:tc>
          <w:tcPr>
            <w:tcW w:type="dxa" w:w="4419"/>
          </w:tcPr>
          <w:p>
            <w:r>
              <w:rPr>
                <w:color w:val="000000"/>
                <w:sz w:val="20"/>
              </w:rPr>
            </w:r>
          </w:p>
        </w:tc>
        <w:tc>
          <w:tcPr>
            <w:tcW w:type="dxa" w:w="4419"/>
          </w:tcPr>
          <w:p>
            <w:r>
              <w:rPr>
                <w:color w:val="000000"/>
                <w:sz w:val="20"/>
              </w:rPr>
            </w:r>
          </w:p>
        </w:tc>
      </w:tr>
      <w:tr>
        <w:tc>
          <w:tcPr>
            <w:tcW w:type="dxa" w:w="4419"/>
          </w:tcPr>
          <w:p>
            <w:r>
              <w:rPr>
                <w:color w:val="000000"/>
                <w:sz w:val="20"/>
              </w:rPr>
              <w:t>Director Signature:  _________________</w:t>
            </w:r>
          </w:p>
        </w:tc>
        <w:tc>
          <w:tcPr>
            <w:tcW w:type="dxa" w:w="4419"/>
          </w:tcPr>
          <w:p>
            <w:r>
              <w:rPr>
                <w:color w:val="000000"/>
                <w:sz w:val="20"/>
              </w:rPr>
              <w:t>Signature:  _________________________</w:t>
            </w:r>
          </w:p>
        </w:tc>
      </w:tr>
      <w:tr>
        <w:tc>
          <w:tcPr>
            <w:tcW w:type="dxa" w:w="4419"/>
          </w:tcPr>
          <w:p>
            <w:r>
              <w:rPr>
                <w:color w:val="000000"/>
                <w:sz w:val="20"/>
              </w:rPr>
            </w:r>
          </w:p>
        </w:tc>
        <w:tc>
          <w:tcPr>
            <w:tcW w:type="dxa" w:w="4419"/>
          </w:tcPr>
          <w:p>
            <w:r>
              <w:rPr>
                <w:color w:val="000000"/>
                <w:sz w:val="20"/>
              </w:rPr>
            </w:r>
          </w:p>
        </w:tc>
      </w:tr>
      <w:tr>
        <w:tc>
          <w:tcPr>
            <w:tcW w:type="dxa" w:w="4419"/>
          </w:tcPr>
          <w:p>
            <w:r>
              <w:rPr>
                <w:color w:val="000000"/>
                <w:sz w:val="20"/>
              </w:rPr>
              <w:t>Date:  ______________________________</w:t>
            </w:r>
          </w:p>
        </w:tc>
        <w:tc>
          <w:tcPr>
            <w:tcW w:type="dxa" w:w="4419"/>
          </w:tcPr>
          <w:p>
            <w:r>
              <w:rPr>
                <w:color w:val="000000"/>
                <w:sz w:val="20"/>
              </w:rPr>
              <w:t>Date:  11 May 2026</w:t>
            </w:r>
          </w:p>
        </w:tc>
      </w:tr>
    </w:tbl>
    <w:p/>
    <w:p>
      <w:r>
        <w:rPr>
          <w:rFonts w:ascii="Calibri" w:hAnsi="Calibri"/>
          <w:b w:val="0"/>
          <w:i/>
          <w:color w:val="404040"/>
          <w:sz w:val="22"/>
        </w:rPr>
        <w:t>* Each Party should initial every page and retain one signed original. An electronically signed copy (PDF) shall have equal legal validity.</w:t>
      </w:r>
    </w:p>
    <w:p/>
    <w:p>
      <w:r>
        <w:rPr>
          <w:color w:val="404040"/>
          <w:sz w:val="16"/>
        </w:rPr>
        <w:t>────────────────────────────────────────────────────────────────────────────────</w:t>
      </w:r>
    </w:p>
    <w:p/>
    <w:p>
      <w:pPr>
        <w:pStyle w:val="Heading1"/>
        <w:jc w:val="left"/>
      </w:pPr>
      <w:r>
        <w:rPr>
          <w:b/>
          <w:color w:val="C9A432"/>
          <w:sz w:val="28"/>
        </w:rPr>
        <w:t>SCHEDULE A — REFERRAL DETAILS &amp; COMMISSION CONFIRMATION</w:t>
      </w:r>
    </w:p>
    <w:p>
      <w:r>
        <w:rPr>
          <w:rFonts w:ascii="Calibri" w:hAnsi="Calibri"/>
          <w:b w:val="0"/>
          <w:i w:val="0"/>
          <w:color w:val="000000"/>
          <w:sz w:val="22"/>
        </w:rPr>
        <w:t>To be completed and signed by both Parties upon validation of each Referral.</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Field</w:t>
            </w:r>
          </w:p>
        </w:tc>
        <w:tc>
          <w:tcPr>
            <w:tcW w:type="dxa" w:w="4419"/>
            <w:shd w:val="clear" w:color="auto" w:fill="1A365D"/>
          </w:tcPr>
          <w:p>
            <w:r>
              <w:rPr>
                <w:b/>
                <w:color w:val="FFFFFF"/>
                <w:sz w:val="20"/>
              </w:rPr>
              <w:t>Details</w:t>
            </w:r>
          </w:p>
        </w:tc>
      </w:tr>
      <w:tr>
        <w:tc>
          <w:tcPr>
            <w:tcW w:type="dxa" w:w="4419"/>
          </w:tcPr>
          <w:p>
            <w:r>
              <w:rPr>
                <w:b/>
                <w:sz w:val="20"/>
              </w:rPr>
              <w:t>Agreement Reference</w:t>
            </w:r>
          </w:p>
        </w:tc>
        <w:tc>
          <w:tcPr>
            <w:tcW w:type="dxa" w:w="4419"/>
          </w:tcPr>
          <w:p>
            <w:r>
              <w:rPr>
                <w:color w:val="000000"/>
                <w:sz w:val="20"/>
              </w:rPr>
              <w:t>LCY-REF-2026-SMT-001</w:t>
            </w:r>
          </w:p>
        </w:tc>
      </w:tr>
      <w:tr>
        <w:tc>
          <w:tcPr>
            <w:tcW w:type="dxa" w:w="4419"/>
          </w:tcPr>
          <w:p>
            <w:r>
              <w:rPr>
                <w:b/>
                <w:sz w:val="20"/>
              </w:rPr>
              <w:t>Referral Date</w:t>
            </w:r>
          </w:p>
        </w:tc>
        <w:tc>
          <w:tcPr>
            <w:tcW w:type="dxa" w:w="4419"/>
          </w:tcPr>
          <w:p>
            <w:r>
              <w:rPr>
                <w:color w:val="000000"/>
                <w:sz w:val="20"/>
              </w:rPr>
              <w:t>_______ / _______ / _______</w:t>
            </w:r>
          </w:p>
        </w:tc>
      </w:tr>
      <w:tr>
        <w:tc>
          <w:tcPr>
            <w:tcW w:type="dxa" w:w="4419"/>
          </w:tcPr>
          <w:p>
            <w:r>
              <w:rPr>
                <w:b/>
                <w:sz w:val="20"/>
              </w:rPr>
              <w:t>Referred Client Name</w:t>
            </w:r>
          </w:p>
        </w:tc>
        <w:tc>
          <w:tcPr>
            <w:tcW w:type="dxa" w:w="4419"/>
          </w:tcPr>
          <w:p>
            <w:r>
              <w:rPr>
                <w:color w:val="000000"/>
                <w:sz w:val="20"/>
              </w:rPr>
              <w:t>______________________________________</w:t>
            </w:r>
          </w:p>
        </w:tc>
      </w:tr>
      <w:tr>
        <w:tc>
          <w:tcPr>
            <w:tcW w:type="dxa" w:w="4419"/>
          </w:tcPr>
          <w:p>
            <w:r>
              <w:rPr>
                <w:b/>
                <w:sz w:val="20"/>
              </w:rPr>
              <w:t>Referred Client Contact</w:t>
            </w:r>
          </w:p>
        </w:tc>
        <w:tc>
          <w:tcPr>
            <w:tcW w:type="dxa" w:w="4419"/>
          </w:tcPr>
          <w:p>
            <w:r>
              <w:rPr>
                <w:color w:val="000000"/>
                <w:sz w:val="20"/>
              </w:rPr>
              <w:t>______________________________________</w:t>
            </w:r>
          </w:p>
        </w:tc>
      </w:tr>
      <w:tr>
        <w:tc>
          <w:tcPr>
            <w:tcW w:type="dxa" w:w="4419"/>
          </w:tcPr>
          <w:p>
            <w:r>
              <w:rPr>
                <w:b/>
                <w:sz w:val="20"/>
              </w:rPr>
              <w:t>PV Park Location(s)</w:t>
            </w:r>
          </w:p>
        </w:tc>
        <w:tc>
          <w:tcPr>
            <w:tcW w:type="dxa" w:w="4419"/>
          </w:tcPr>
          <w:p>
            <w:r>
              <w:rPr>
                <w:color w:val="000000"/>
                <w:sz w:val="20"/>
              </w:rPr>
              <w:t>______________________________________</w:t>
            </w:r>
          </w:p>
        </w:tc>
      </w:tr>
      <w:tr>
        <w:tc>
          <w:tcPr>
            <w:tcW w:type="dxa" w:w="4419"/>
          </w:tcPr>
          <w:p>
            <w:r>
              <w:rPr>
                <w:b/>
                <w:sz w:val="20"/>
              </w:rPr>
              <w:t>Licensed Capacity (MW)</w:t>
            </w:r>
          </w:p>
        </w:tc>
        <w:tc>
          <w:tcPr>
            <w:tcW w:type="dxa" w:w="4419"/>
          </w:tcPr>
          <w:p>
            <w:r>
              <w:rPr>
                <w:color w:val="000000"/>
                <w:sz w:val="20"/>
              </w:rPr>
              <w:t>______________________________________</w:t>
            </w:r>
          </w:p>
        </w:tc>
      </w:tr>
      <w:tr>
        <w:tc>
          <w:tcPr>
            <w:tcW w:type="dxa" w:w="4419"/>
          </w:tcPr>
          <w:p>
            <w:r>
              <w:rPr>
                <w:b/>
                <w:sz w:val="20"/>
              </w:rPr>
              <w:t>Estimated Project Value (€)</w:t>
            </w:r>
          </w:p>
        </w:tc>
        <w:tc>
          <w:tcPr>
            <w:tcW w:type="dxa" w:w="4419"/>
          </w:tcPr>
          <w:p>
            <w:r>
              <w:rPr>
                <w:color w:val="000000"/>
                <w:sz w:val="20"/>
              </w:rPr>
              <w:t>______________________________________</w:t>
            </w:r>
          </w:p>
        </w:tc>
      </w:tr>
      <w:tr>
        <w:tc>
          <w:tcPr>
            <w:tcW w:type="dxa" w:w="4419"/>
          </w:tcPr>
          <w:p>
            <w:r>
              <w:rPr>
                <w:b/>
                <w:sz w:val="20"/>
              </w:rPr>
              <w:t>Applicable Commission Tier</w:t>
            </w:r>
          </w:p>
        </w:tc>
        <w:tc>
          <w:tcPr>
            <w:tcW w:type="dxa" w:w="4419"/>
          </w:tcPr>
          <w:p>
            <w:r>
              <w:rPr>
                <w:color w:val="000000"/>
                <w:sz w:val="20"/>
              </w:rPr>
              <w:t>□ Tier A — 2.0%   □ Tier B — 3.0%   □ Tier C — 3.5%</w:t>
            </w:r>
          </w:p>
        </w:tc>
      </w:tr>
      <w:tr>
        <w:tc>
          <w:tcPr>
            <w:tcW w:type="dxa" w:w="4419"/>
          </w:tcPr>
          <w:p>
            <w:r>
              <w:rPr>
                <w:b/>
                <w:sz w:val="20"/>
              </w:rPr>
              <w:t>Commission Rate Confirmed</w:t>
            </w:r>
          </w:p>
        </w:tc>
        <w:tc>
          <w:tcPr>
            <w:tcW w:type="dxa" w:w="4419"/>
          </w:tcPr>
          <w:p>
            <w:r>
              <w:rPr>
                <w:color w:val="000000"/>
                <w:sz w:val="20"/>
              </w:rPr>
              <w:t>_______ %  of Contract Value</w:t>
            </w:r>
          </w:p>
        </w:tc>
      </w:tr>
      <w:tr>
        <w:tc>
          <w:tcPr>
            <w:tcW w:type="dxa" w:w="4419"/>
          </w:tcPr>
          <w:p>
            <w:r>
              <w:rPr>
                <w:b/>
                <w:sz w:val="20"/>
              </w:rPr>
              <w:t>Exclusivity Period Expiry</w:t>
            </w:r>
          </w:p>
        </w:tc>
        <w:tc>
          <w:tcPr>
            <w:tcW w:type="dxa" w:w="4419"/>
          </w:tcPr>
          <w:p>
            <w:r>
              <w:rPr>
                <w:color w:val="000000"/>
                <w:sz w:val="20"/>
              </w:rPr>
              <w:t>_______ / _______ / _______</w:t>
            </w:r>
          </w:p>
        </w:tc>
      </w:tr>
      <w:tr>
        <w:tc>
          <w:tcPr>
            <w:tcW w:type="dxa" w:w="4419"/>
          </w:tcPr>
          <w:p>
            <w:r>
              <w:rPr>
                <w:b/>
                <w:sz w:val="20"/>
              </w:rPr>
              <w:t>Principal Confirmation By</w:t>
            </w:r>
          </w:p>
        </w:tc>
        <w:tc>
          <w:tcPr>
            <w:tcW w:type="dxa" w:w="4419"/>
          </w:tcPr>
          <w:p>
            <w:r>
              <w:rPr>
                <w:color w:val="000000"/>
                <w:sz w:val="20"/>
              </w:rPr>
              <w:t>Alexander Papacosta</w:t>
            </w:r>
          </w:p>
        </w:tc>
      </w:tr>
      <w:tr>
        <w:tc>
          <w:tcPr>
            <w:tcW w:type="dxa" w:w="4419"/>
          </w:tcPr>
          <w:p>
            <w:r>
              <w:rPr>
                <w:b/>
                <w:sz w:val="20"/>
              </w:rPr>
              <w:t>Principal Confirmation Date</w:t>
            </w:r>
          </w:p>
        </w:tc>
        <w:tc>
          <w:tcPr>
            <w:tcW w:type="dxa" w:w="4419"/>
          </w:tcPr>
          <w:p>
            <w:r>
              <w:rPr>
                <w:color w:val="000000"/>
                <w:sz w:val="20"/>
              </w:rPr>
              <w:t>_______ / _______ / _______</w:t>
            </w:r>
          </w:p>
        </w:tc>
      </w:tr>
    </w:tbl>
    <w:p/>
    <w:p>
      <w:r>
        <w:rPr>
          <w:color w:val="404040"/>
          <w:sz w:val="16"/>
        </w:rPr>
        <w:t>────────────────────────────────────────────────────────────────────────────────</w:t>
      </w:r>
    </w:p>
    <w:p/>
    <w:p>
      <w:pPr>
        <w:pStyle w:val="Heading1"/>
        <w:jc w:val="left"/>
      </w:pPr>
      <w:r>
        <w:rPr>
          <w:b/>
          <w:color w:val="C9A432"/>
          <w:sz w:val="28"/>
        </w:rPr>
        <w:t>SCHEDULE B — REFERRAL PARTNER BANK DETAILS</w:t>
      </w:r>
    </w:p>
    <w:p>
      <w:r>
        <w:rPr>
          <w:rFonts w:ascii="Calibri" w:hAnsi="Calibri"/>
          <w:b w:val="0"/>
          <w:i w:val="0"/>
          <w:color w:val="000000"/>
          <w:sz w:val="22"/>
        </w:rPr>
        <w:t>Bank account details for Commission payments. The Referral Partner is responsible for notifying the Principal of any changes.</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Account Holder Name</w:t>
            </w:r>
          </w:p>
        </w:tc>
        <w:tc>
          <w:tcPr>
            <w:tcW w:type="dxa" w:w="4419"/>
          </w:tcPr>
          <w:p>
            <w:r>
              <w:rPr>
                <w:color w:val="000000"/>
                <w:sz w:val="20"/>
              </w:rPr>
              <w:t>S.M.T. UNLIMITED GROUP LTD</w:t>
            </w:r>
          </w:p>
        </w:tc>
      </w:tr>
      <w:tr>
        <w:tc>
          <w:tcPr>
            <w:tcW w:type="dxa" w:w="4419"/>
          </w:tcPr>
          <w:p>
            <w:r>
              <w:rPr>
                <w:b/>
                <w:sz w:val="20"/>
              </w:rPr>
              <w:t>Bank Name</w:t>
            </w:r>
          </w:p>
        </w:tc>
        <w:tc>
          <w:tcPr>
            <w:tcW w:type="dxa" w:w="4419"/>
          </w:tcPr>
          <w:p>
            <w:r>
              <w:rPr>
                <w:color w:val="000000"/>
                <w:sz w:val="20"/>
              </w:rPr>
              <w:t>______________________________________</w:t>
            </w:r>
          </w:p>
        </w:tc>
      </w:tr>
      <w:tr>
        <w:tc>
          <w:tcPr>
            <w:tcW w:type="dxa" w:w="4419"/>
          </w:tcPr>
          <w:p>
            <w:r>
              <w:rPr>
                <w:b/>
                <w:sz w:val="20"/>
              </w:rPr>
              <w:t>IBAN</w:t>
            </w:r>
          </w:p>
        </w:tc>
        <w:tc>
          <w:tcPr>
            <w:tcW w:type="dxa" w:w="4419"/>
          </w:tcPr>
          <w:p>
            <w:r>
              <w:rPr>
                <w:color w:val="000000"/>
                <w:sz w:val="20"/>
              </w:rPr>
              <w:t>______________________________________</w:t>
            </w:r>
          </w:p>
        </w:tc>
      </w:tr>
      <w:tr>
        <w:tc>
          <w:tcPr>
            <w:tcW w:type="dxa" w:w="4419"/>
          </w:tcPr>
          <w:p>
            <w:r>
              <w:rPr>
                <w:b/>
                <w:sz w:val="20"/>
              </w:rPr>
              <w:t>SWIFT / BIC</w:t>
            </w:r>
          </w:p>
        </w:tc>
        <w:tc>
          <w:tcPr>
            <w:tcW w:type="dxa" w:w="4419"/>
          </w:tcPr>
          <w:p>
            <w:r>
              <w:rPr>
                <w:color w:val="000000"/>
                <w:sz w:val="20"/>
              </w:rPr>
              <w:t>______________________________________</w:t>
            </w:r>
          </w:p>
        </w:tc>
      </w:tr>
      <w:tr>
        <w:tc>
          <w:tcPr>
            <w:tcW w:type="dxa" w:w="4419"/>
          </w:tcPr>
          <w:p>
            <w:r>
              <w:rPr>
                <w:b/>
                <w:sz w:val="20"/>
              </w:rPr>
              <w:t>Bank Address</w:t>
            </w:r>
          </w:p>
        </w:tc>
        <w:tc>
          <w:tcPr>
            <w:tcW w:type="dxa" w:w="4419"/>
          </w:tcPr>
          <w:p>
            <w:r>
              <w:rPr>
                <w:color w:val="000000"/>
                <w:sz w:val="20"/>
              </w:rPr>
              <w:t>______________________________________</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VAT Registration No.</w:t>
            </w:r>
          </w:p>
        </w:tc>
        <w:tc>
          <w:tcPr>
            <w:tcW w:type="dxa" w:w="4419"/>
          </w:tcPr>
          <w:p>
            <w:r>
              <w:rPr>
                <w:color w:val="000000"/>
                <w:sz w:val="20"/>
              </w:rPr>
              <w:t>______________________________________</w:t>
            </w:r>
          </w:p>
        </w:tc>
      </w:tr>
    </w:tbl>
    <w:p/>
    <w:p>
      <w:r>
        <w:rPr>
          <w:color w:val="404040"/>
          <w:sz w:val="16"/>
        </w:rPr>
        <w:t>────────────────────────────────────────────────────────────────────────────────</w:t>
      </w:r>
    </w:p>
    <w:p/>
    <w:p>
      <w:pPr>
        <w:jc w:val="center"/>
      </w:pPr>
      <w:r>
        <w:rPr>
          <w:i/>
          <w:color w:val="404040"/>
          <w:sz w:val="16"/>
        </w:rPr>
        <w:t>© 2026 LIGHTHIEF CYPRUS LTD  |  28 October Ave 249, Lophitis Business Center I, Office 201, 3035 Limassol, Cyprus  |  office@lighthief.com  |  www.lighthief.com</w:t>
        <w:br/>
        <w:t>This agreement is confidential. Referral commissions are subject to execution of this Agreement.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