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(v6.3, July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b w:val="0"/>
          <w:i w:val="0"/>
          <w:sz w:val="21"/>
        </w:rPr>
        <w:t>Only the EPC Agreement is signed now. Signing it records the agreed terms and triggers no payment.</w:t>
      </w:r>
    </w:p>
    <w:p>
      <w:pPr>
        <w:pStyle w:val="ListBullet"/>
      </w:pPr>
      <w:r>
        <w:rPr>
          <w:rFonts w:ascii="Calibri" w:hAnsi="Calibri"/>
          <w:b w:val="0"/>
          <w:i w:val="0"/>
          <w:sz w:val="21"/>
        </w:rPr>
        <w:t>The order begins at Connection Terms (grid terms from EAC/DSO). At that point Lighthief signs the supply contract with the manufacturer and the manufacturer's bank issues the Advance Payment Guarantee against both agreements.</w:t>
      </w:r>
    </w:p>
    <w:p>
      <w:pPr>
        <w:pStyle w:val="ListBullet"/>
      </w:pPr>
      <w:r>
        <w:rPr>
          <w:rFonts w:ascii="Calibri" w:hAnsi="Calibri"/>
          <w:b w:val="0"/>
          <w:i w:val="0"/>
          <w:sz w:val="21"/>
        </w:rPr>
        <w:t>The companion documents below travel with this pack for review now; they are executed at the order trigger, not today.</w:t>
      </w:r>
    </w:p>
    <w:p>
      <w:pPr>
        <w:pStyle w:val="ListBullet"/>
      </w:pPr>
      <w:r>
        <w:rPr>
          <w:rFonts w:ascii="Calibri" w:hAnsi="Calibri"/>
          <w:b w:val="0"/>
          <w:i w:val="0"/>
          <w:sz w:val="21"/>
        </w:rPr>
        <w:t>No advance is payable until the signed Direct Warranty Undertaking, the bank APG (with Galascope as beneficiary), the 5% performance guarantee and the Confirmed Price Certificate are presented. If any is not provided in the agreed form, either party may withdraw with no liability.</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v6.3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rFonts w:ascii="Calibri" w:hAnsi="Calibri"/>
                <w:b w:val="0"/>
                <w:i w:val="0"/>
                <w:sz w:val="21"/>
              </w:rPr>
              <w:t>LTSA (Long-Term Service Agreement) v6.3</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rFonts w:ascii="Calibri" w:hAnsi="Calibri"/>
                <w:b w:val="0"/>
                <w:i w:val="0"/>
                <w:sz w:val="21"/>
              </w:rPr>
              <w:t>Draft for review; signed by OEM at order</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rFonts w:ascii="Calibri" w:hAnsi="Calibri"/>
                <w:b w:val="0"/>
                <w:i w:val="0"/>
                <w:sz w:val="21"/>
              </w:rPr>
              <w:t>Form for review; bank-issued before advance</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rFonts w:ascii="Calibri" w:hAnsi="Calibri"/>
                <w:b w:val="0"/>
                <w:i w:val="0"/>
                <w:sz w:val="21"/>
              </w:rPr>
              <w:t>Form for review; bank-issued at FAT</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rFonts w:ascii="Calibri" w:hAnsi="Calibri"/>
                <w:b w:val="0"/>
                <w:i w:val="0"/>
                <w:sz w:val="21"/>
              </w:rPr>
              <w:t>Form for review; issued at order</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08</w:t>
            </w:r>
          </w:p>
        </w:tc>
        <w:tc>
          <w:tcPr>
            <w:tcW w:type="dxa" w:w="2880"/>
          </w:tcPr>
          <w:p>
            <w:r>
              <w:rPr>
                <w:rFonts w:ascii="Calibri" w:hAnsi="Calibri"/>
                <w:b w:val="0"/>
                <w:i w:val="0"/>
                <w:sz w:val="21"/>
              </w:rPr>
              <w:t>Redline Response Matrix v6.3 (client comments vs. our response, colour-coded)</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OEM/Kehua/Mingyang datasheets, SOH degradation curve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