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A365D"/>
          <w:sz w:val="26"/>
        </w:rPr>
        <w:t>ADVANCE PAYMENT GUARANTEE No. 1 — REQUIRED FORM (CLEAN)</w:t>
      </w:r>
    </w:p>
    <w:p>
      <w:pPr>
        <w:jc w:val="center"/>
      </w:pPr>
      <w:r>
        <w:rPr>
          <w:rFonts w:ascii="Calibri" w:hAnsi="Calibri"/>
          <w:b w:val="0"/>
          <w:i/>
          <w:color w:val="404040"/>
          <w:sz w:val="18"/>
        </w:rPr>
        <w:t>Consolidated wording for Bank of Communications Co., Ltd. (Jiangsu Provincial Branch) to issue in favour of Galascope Ltd. Applicant remains Jiangsu Linyang Energy Storage Technology Co., Ltd. (the Bank's own customer).</w:t>
      </w:r>
    </w:p>
    <w:p/>
    <w:p>
      <w:pPr>
        <w:spacing w:after="160"/>
        <w:jc w:val="both"/>
      </w:pPr>
      <w:r>
        <w:rPr>
          <w:rFonts w:ascii="Calibri" w:hAnsi="Calibri"/>
          <w:b/>
          <w:i w:val="0"/>
          <w:color w:val="000000"/>
          <w:sz w:val="23"/>
        </w:rPr>
        <w:t>Advance Payment Guarantee</w:t>
      </w:r>
    </w:p>
    <w:p>
      <w:pPr>
        <w:spacing w:after="160"/>
        <w:jc w:val="both"/>
      </w:pPr>
      <w:r>
        <w:rPr>
          <w:rFonts w:ascii="Calibri" w:hAnsi="Calibri"/>
          <w:b w:val="0"/>
          <w:i w:val="0"/>
          <w:color w:val="000000"/>
          <w:sz w:val="21"/>
        </w:rPr>
        <w:t>Issued by: Bank of Communications Co., Ltd. Jiangsu Provincial Branch, 11 Floor, No.218 Lushan Road, Jianye district, Nanjing, Jiangsu, China.</w:t>
      </w:r>
    </w:p>
    <w:p>
      <w:pPr>
        <w:spacing w:after="160"/>
        <w:jc w:val="both"/>
      </w:pPr>
      <w:r>
        <w:rPr>
          <w:rFonts w:ascii="Calibri" w:hAnsi="Calibri"/>
          <w:b w:val="0"/>
          <w:i w:val="0"/>
          <w:color w:val="000000"/>
          <w:sz w:val="21"/>
        </w:rPr>
        <w:t>Advised through: Alpha Bank Cyprus Ltd (EU advising/confirming bank).</w:t>
      </w:r>
    </w:p>
    <w:p>
      <w:pPr>
        <w:spacing w:after="160"/>
        <w:jc w:val="both"/>
      </w:pPr>
      <w:r>
        <w:rPr>
          <w:rFonts w:ascii="Calibri" w:hAnsi="Calibri"/>
          <w:b w:val="0"/>
          <w:i w:val="0"/>
          <w:color w:val="000000"/>
          <w:sz w:val="21"/>
        </w:rPr>
        <w:t>In favour of: Galascope Ltd (HE 303759), Karaiskaki 6, City House, 3032 Limassol, Cyprus (the “Beneficiary”), and/or Alpha Bank Cyprus Ltd as its project-finance security agent.</w:t>
      </w:r>
    </w:p>
    <w:p>
      <w:pPr>
        <w:spacing w:after="160"/>
        <w:jc w:val="both"/>
      </w:pPr>
      <w:r>
        <w:rPr>
          <w:rFonts w:ascii="Calibri" w:hAnsi="Calibri"/>
          <w:b w:val="0"/>
          <w:i w:val="0"/>
          <w:color w:val="000000"/>
          <w:sz w:val="21"/>
        </w:rPr>
        <w:t>At the request of: Jiangsu Linyang Energy Storage Technology Co., Ltd., 16-18 floor, Building 1, No.68 Olympic Sports Street, Jianye District, Nanjing, Jiangsu, China (the “Applicant”).</w:t>
      </w:r>
    </w:p>
    <w:p>
      <w:pPr>
        <w:spacing w:after="160"/>
        <w:jc w:val="both"/>
      </w:pPr>
      <w:r>
        <w:rPr>
          <w:rFonts w:ascii="Calibri" w:hAnsi="Calibri"/>
          <w:b w:val="0"/>
          <w:i w:val="0"/>
          <w:color w:val="000000"/>
          <w:sz w:val="21"/>
        </w:rPr>
        <w:t>Our Letter of Guarantee No. [●]</w:t>
      </w:r>
    </w:p>
    <w:p/>
    <w:p>
      <w:pPr>
        <w:spacing w:after="160"/>
        <w:jc w:val="both"/>
      </w:pPr>
      <w:r>
        <w:rPr>
          <w:rFonts w:ascii="Calibri" w:hAnsi="Calibri"/>
          <w:b w:val="0"/>
          <w:i w:val="0"/>
          <w:color w:val="000000"/>
          <w:sz w:val="21"/>
        </w:rPr>
        <w:t>Whereas the Applicant has entered into an OEM Sales Contract with Lighthief Cyprus Ltd (HE 477423, the “Contractor”) to supply Battery Energy Storage System equipment for a Project developed by the Beneficiary; and whereas the Contractor and the Beneficiary have entered into EPC Agreement No. LCY-EPC-GAL-B1-2026 dated [●] 2026 for the supply, delivery and installation of that equipment for Galascope 1 Photovoltaic Park (5 MW / 20.06 MWh) and Galascope 2 Photovoltaic Park (2.5 MW / 10.03 MWh), Famagusta, Cyprus (the “Project”); and whereas the Beneficiary has, through the Contractor, made an advance payment in connection with the Applicant's supply of equipment for the Project; now, at the request of the Applicant, we hereby issue this independent guarantee under URDG 758 in favour of the Beneficiary for the maximum amount of EUR 705,792.36 (say Euro Seven Hundred Five Thousand Seven Hundred Ninety-Two and 36 cents only) (the “Guaranteed Amount”), on the following terms:</w:t>
      </w:r>
    </w:p>
    <w:p>
      <w:pPr>
        <w:spacing w:after="160"/>
        <w:jc w:val="both"/>
      </w:pPr>
      <w:r>
        <w:rPr>
          <w:rFonts w:ascii="Calibri" w:hAnsi="Calibri"/>
          <w:b w:val="0"/>
          <w:i w:val="0"/>
          <w:color w:val="000000"/>
          <w:sz w:val="21"/>
        </w:rPr>
        <w:t>(1) We irrevocably undertake to pay the Beneficiary, on receipt of its complying written demand, any amount up to the Guaranteed Amount, such demand stating that the Applicant has failed to perform its obligations under the OEM Sales Contract in respect of which the advance payment was made and/or that the advance payment has not been refunded when due.</w:t>
      </w:r>
    </w:p>
    <w:p>
      <w:pPr>
        <w:spacing w:after="160"/>
        <w:jc w:val="both"/>
      </w:pPr>
      <w:r>
        <w:rPr>
          <w:rFonts w:ascii="Calibri" w:hAnsi="Calibri"/>
          <w:b w:val="0"/>
          <w:i w:val="0"/>
          <w:color w:val="000000"/>
          <w:sz w:val="21"/>
        </w:rPr>
        <w:t>(2) We shall pay the demanded amount within five (5) Business Days of receipt of a complying written demand, without set-off or deduction and without requiring prior recourse to the Applicant.</w:t>
      </w:r>
    </w:p>
    <w:p>
      <w:pPr>
        <w:spacing w:after="160"/>
        <w:jc w:val="both"/>
      </w:pPr>
      <w:r>
        <w:rPr>
          <w:rFonts w:ascii="Calibri" w:hAnsi="Calibri"/>
          <w:b w:val="0"/>
          <w:i w:val="0"/>
          <w:color w:val="000000"/>
          <w:sz w:val="21"/>
        </w:rPr>
        <w:t>(3) Our liability hereunder reduces by each amount paid under this guarantee. The Guaranteed Amount shall not be reduced merely on presentation of shipping documents or a bill of lading.</w:t>
      </w:r>
    </w:p>
    <w:p>
      <w:pPr>
        <w:spacing w:after="160"/>
        <w:jc w:val="both"/>
      </w:pPr>
      <w:r>
        <w:rPr>
          <w:rFonts w:ascii="Calibri" w:hAnsi="Calibri"/>
          <w:b w:val="0"/>
          <w:i w:val="0"/>
          <w:color w:val="000000"/>
          <w:sz w:val="21"/>
        </w:rPr>
        <w:t>(4) The Beneficiary may assign this guarantee or its proceeds to a project-finance lender or security agent without our further consent.</w:t>
      </w:r>
    </w:p>
    <w:p>
      <w:pPr>
        <w:spacing w:after="160"/>
        <w:jc w:val="both"/>
      </w:pPr>
      <w:r>
        <w:rPr>
          <w:rFonts w:ascii="Calibri" w:hAnsi="Calibri"/>
          <w:b w:val="0"/>
          <w:i w:val="0"/>
          <w:color w:val="000000"/>
          <w:sz w:val="21"/>
        </w:rPr>
        <w:t>(5) This guarantee comes into force on receipt by the Applicant of the advance payment, credited to the Applicant’s account (IBAN/SWIFT to be confirmed by the Applicant to the Bank), and remains valid until the earlier of: (i) issuance of the Provisional Acceptance Certificate (PAC) for the Project; or (ii) twelve (12) months after delivery of the equipment to the Project Site (the “Expiry Date”). After the Expiry Date this guarantee automatically becomes null and void, whether returned to us or not.</w:t>
      </w:r>
    </w:p>
    <w:p>
      <w:pPr>
        <w:spacing w:after="160"/>
        <w:jc w:val="both"/>
      </w:pPr>
      <w:r>
        <w:rPr>
          <w:rFonts w:ascii="Calibri" w:hAnsi="Calibri"/>
          <w:b w:val="0"/>
          <w:i w:val="0"/>
          <w:color w:val="000000"/>
          <w:sz w:val="21"/>
        </w:rPr>
        <w:t>(6) Any demand under this guarantee may be presented: (i) by authenticated SWIFT message from the Beneficiary’s bank; or (ii) by registered letter or hand delivery to our designated address or to our EU/Cyprus confirming bank; and must be received on or before the Expiry Date.</w:t>
      </w:r>
    </w:p>
    <w:p>
      <w:pPr>
        <w:spacing w:after="160"/>
        <w:jc w:val="both"/>
      </w:pPr>
      <w:r>
        <w:rPr>
          <w:rFonts w:ascii="Calibri" w:hAnsi="Calibri"/>
          <w:b w:val="0"/>
          <w:i w:val="0"/>
          <w:color w:val="000000"/>
          <w:sz w:val="21"/>
        </w:rPr>
        <w:t>(7) This guarantee is subject to the Uniform Rules for Demand Guarantees (URDG) 2010 Revision, ICC Publication No. 758. Governing law: Cyprus law (or English law, to be confirmed). Any dispute is subject to the exclusive jurisdiction of the courts of Cyprus, or as otherwise agreed.</w:t>
      </w:r>
    </w:p>
    <w:p>
      <w:pPr>
        <w:spacing w:after="160"/>
        <w:jc w:val="both"/>
      </w:pPr>
      <w:r>
        <w:rPr>
          <w:rFonts w:ascii="Calibri" w:hAnsi="Calibri"/>
          <w:b w:val="0"/>
          <w:i w:val="0"/>
          <w:color w:val="000000"/>
          <w:sz w:val="21"/>
        </w:rPr>
        <w:t>(8) All charges of the issuing Bank are for the account of the Applicant. The Beneficiary’s bank charges, if any, are for the account of the Beneficiary.</w:t>
      </w:r>
    </w:p>
    <w:p/>
    <w:p>
      <w:pPr>
        <w:spacing w:after="160"/>
        <w:jc w:val="both"/>
      </w:pPr>
      <w:r>
        <w:rPr>
          <w:rFonts w:ascii="Calibri" w:hAnsi="Calibri"/>
          <w:b w:val="0"/>
          <w:i/>
          <w:color w:val="404040"/>
          <w:sz w:val="18"/>
        </w:rPr>
        <w:t>NOTE: This is the required final-form wording for APG No. 1 (advance). APG No. 2 (pre-shipment, EUR 1,411,584.72) requires the same wording with the following differences: (i) amount EUR 1,411,584.72; (ii) trigger: receipt of the pre-shipment payment on completion of Factory Acceptance Testing; (iii) reduction on this instrument only shall additionally be evidenced by certificates of the supervising engineer (Aioliki / Glekas — to be confirmed by Galascope); (iv) same PAC-or-12-month expiry. In both instruments, the Applicant is Jiangsu Linyang Energy Storage Technology Co., Ltd. — not Lighthief Cyprus Ltd — since Bank of Communications is the Applicant's own bank.</w:t>
      </w:r>
    </w:p>
    <w:p/>
    <w:p>
      <w:r>
        <w:rPr>
          <w:rFonts w:ascii="Calibri" w:hAnsi="Calibri"/>
          <w:b w:val="0"/>
          <w:i/>
          <w:color w:val="404040"/>
          <w:sz w:val="16"/>
        </w:rPr>
        <w:t>Ref: LCY-APG-INSTR-2026-01 · Lighthief Cyprus Ltd · HE 477423 · office@lighthief.com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