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365D"/>
          <w:sz w:val="28"/>
        </w:rPr>
        <w:t>LIGHTHIEF CYPRUS LTD</w:t>
      </w:r>
    </w:p>
    <w:p>
      <w:pPr>
        <w:jc w:val="center"/>
      </w:pPr>
      <w:r>
        <w:rPr>
          <w:rFonts w:ascii="Calibri" w:hAnsi="Calibri"/>
          <w:b/>
          <w:i w:val="0"/>
          <w:color w:val="C9A432"/>
          <w:sz w:val="25"/>
        </w:rPr>
        <w:t>Advance Payment Guarantee No. 1 — Required Amendments for Bank Review</w:t>
      </w:r>
    </w:p>
    <w:p/>
    <w:p>
      <w:r>
        <w:rPr>
          <w:rFonts w:ascii="Calibri" w:hAnsi="Calibri"/>
          <w:b/>
          <w:i w:val="0"/>
          <w:sz w:val="22"/>
        </w:rPr>
        <w:t xml:space="preserve">Date: </w:t>
      </w:r>
      <w:r>
        <w:rPr>
          <w:rFonts w:ascii="Calibri" w:hAnsi="Calibri"/>
          <w:b w:val="0"/>
          <w:i w:val="0"/>
          <w:sz w:val="22"/>
        </w:rPr>
        <w:t>30 July 2026</w:t>
        <w:br/>
      </w:r>
      <w:r>
        <w:rPr>
          <w:rFonts w:ascii="Calibri" w:hAnsi="Calibri"/>
          <w:b/>
          <w:i w:val="0"/>
          <w:sz w:val="22"/>
        </w:rPr>
        <w:t xml:space="preserve">To: </w:t>
      </w:r>
      <w:r>
        <w:rPr>
          <w:rFonts w:ascii="Calibri" w:hAnsi="Calibri"/>
          <w:b w:val="0"/>
          <w:i w:val="0"/>
          <w:sz w:val="22"/>
        </w:rPr>
        <w:t>Stelios Constantinou, Galascope Ltd</w:t>
        <w:br/>
      </w:r>
      <w:r>
        <w:rPr>
          <w:rFonts w:ascii="Calibri" w:hAnsi="Calibri"/>
          <w:b/>
          <w:i w:val="0"/>
          <w:sz w:val="22"/>
        </w:rPr>
        <w:t xml:space="preserve">From: </w:t>
      </w:r>
      <w:r>
        <w:rPr>
          <w:rFonts w:ascii="Calibri" w:hAnsi="Calibri"/>
          <w:b w:val="0"/>
          <w:i w:val="0"/>
          <w:sz w:val="22"/>
        </w:rPr>
        <w:t>Alexander Papacosta, Cyprus Director, Lighthief Cyprus Ltd</w:t>
        <w:br/>
      </w:r>
      <w:r>
        <w:rPr>
          <w:rFonts w:ascii="Calibri" w:hAnsi="Calibri"/>
          <w:b/>
          <w:i w:val="0"/>
          <w:sz w:val="22"/>
        </w:rPr>
        <w:t xml:space="preserve">Re: </w:t>
      </w:r>
      <w:r>
        <w:rPr>
          <w:rFonts w:ascii="Calibri" w:hAnsi="Calibri"/>
          <w:b w:val="0"/>
          <w:i w:val="0"/>
          <w:sz w:val="22"/>
        </w:rPr>
        <w:t>Bank of Communications APG No. 1 draft — amendments required before issuance</w:t>
      </w:r>
    </w:p>
    <w:p/>
    <w:p>
      <w:pPr>
        <w:spacing w:after="160"/>
        <w:jc w:val="both"/>
      </w:pPr>
      <w:r>
        <w:rPr>
          <w:rFonts w:ascii="Calibri" w:hAnsi="Calibri"/>
          <w:b w:val="0"/>
          <w:i w:val="0"/>
          <w:color w:val="000000"/>
          <w:sz w:val="22"/>
        </w:rPr>
        <w:t>Dear Stelios,</w:t>
      </w:r>
    </w:p>
    <w:p>
      <w:pPr>
        <w:spacing w:after="160"/>
        <w:jc w:val="both"/>
      </w:pPr>
      <w:r>
        <w:rPr>
          <w:rFonts w:ascii="Calibri" w:hAnsi="Calibri"/>
          <w:b w:val="0"/>
          <w:i w:val="0"/>
          <w:color w:val="000000"/>
          <w:sz w:val="22"/>
        </w:rPr>
        <w:t>Following your comments on our specimen wording, we have compared them against the actual draft Advance Payment Guarantee received from Bank of Communications Co., Ltd. (Jiangsu Provincial Branch) and prepared the attached redline directly on that bank's own text. This shows, clause by clause, what needs to change before the instrument is acceptable: correcting the beneficiary (currently shows SUNCATCHER Engineering GmbH, not Galascope), the contract reference, the amount (EUR 705,792.36), assignability to your lender/security agent, the expiry mechanism (tied to PAC or 12 months, not left blank), the demand mechanism (SWIFT / EU confirming bank rather than paper-only delivery to a Nanjing counter), and a governing-law clause.</w:t>
      </w:r>
    </w:p>
    <w:p>
      <w:pPr>
        <w:spacing w:after="160"/>
        <w:jc w:val="both"/>
      </w:pPr>
      <w:r>
        <w:rPr>
          <w:rFonts w:ascii="Calibri" w:hAnsi="Calibri"/>
          <w:b w:val="0"/>
          <w:i w:val="0"/>
          <w:color w:val="000000"/>
          <w:sz w:val="22"/>
        </w:rPr>
        <w:t>Before we instruct Linyang to have their bank re-issue the APG in this form, we would like Alpha Bank Cyprus (in its capacity as your project-finance lender / security agent) to review the attached redline and confirm it meets their requirements as beneficiary and assignee of the instrument. This avoids a second round of amendments after Linyang's bank has already re-drafted it.</w:t>
      </w:r>
    </w:p>
    <w:p>
      <w:pPr>
        <w:spacing w:after="160"/>
        <w:jc w:val="both"/>
      </w:pPr>
      <w:r>
        <w:rPr>
          <w:rFonts w:ascii="Calibri" w:hAnsi="Calibri"/>
          <w:b w:val="0"/>
          <w:i w:val="0"/>
          <w:color w:val="000000"/>
          <w:sz w:val="22"/>
        </w:rPr>
        <w:t>Could you please route the attached to Alpha Bank for their comments, and let us know either:</w:t>
      </w:r>
    </w:p>
    <w:p>
      <w:pPr>
        <w:pStyle w:val="ListBullet"/>
      </w:pPr>
      <w:r>
        <w:rPr>
          <w:rFonts w:ascii="Calibri" w:hAnsi="Calibri"/>
          <w:b w:val="0"/>
          <w:i w:val="0"/>
          <w:sz w:val="22"/>
        </w:rPr>
        <w:t>Alpha Bank confirms the wording is acceptable as drafted, in which case we will send the final instruction to Linyang / Bank of Communications immediately; or</w:t>
      </w:r>
    </w:p>
    <w:p>
      <w:pPr>
        <w:pStyle w:val="ListBullet"/>
      </w:pPr>
      <w:r>
        <w:rPr>
          <w:rFonts w:ascii="Calibri" w:hAnsi="Calibri"/>
          <w:b w:val="0"/>
          <w:i w:val="0"/>
          <w:sz w:val="22"/>
        </w:rPr>
        <w:t>Alpha Bank requires further changes, in which case please return their comments to us and we will fold them into a single consolidated instruction to Linyang's bank.</w:t>
      </w:r>
    </w:p>
    <w:p>
      <w:pPr>
        <w:spacing w:after="160"/>
        <w:jc w:val="both"/>
      </w:pPr>
      <w:r>
        <w:rPr>
          <w:rFonts w:ascii="Calibri" w:hAnsi="Calibri"/>
          <w:b w:val="0"/>
          <w:i w:val="0"/>
          <w:color w:val="000000"/>
          <w:sz w:val="22"/>
        </w:rPr>
        <w:t>Attached for Alpha Bank's review:</w:t>
      </w:r>
    </w:p>
    <w:p>
      <w:pPr>
        <w:pStyle w:val="ListBullet"/>
      </w:pPr>
      <w:r>
        <w:rPr>
          <w:rFonts w:ascii="Calibri" w:hAnsi="Calibri"/>
          <w:b w:val="0"/>
          <w:i w:val="0"/>
          <w:sz w:val="22"/>
        </w:rPr>
        <w:t>APG-No1-Redline-on-BoC-draft-jul2026.docx — markup directly on Bank of Communications' own draft text (this is the clearest version for a bank reviewer, since it shows exactly what changes against what they already drafted).</w:t>
      </w:r>
    </w:p>
    <w:p>
      <w:pPr>
        <w:pStyle w:val="ListBullet"/>
      </w:pPr>
      <w:r>
        <w:rPr>
          <w:rFonts w:ascii="Calibri" w:hAnsi="Calibri"/>
          <w:b w:val="0"/>
          <w:i w:val="0"/>
          <w:sz w:val="22"/>
        </w:rPr>
        <w:t>APG-No1-Required-Form-Clean.docx — a clean, fully consolidated version of the same amendments, for reference once the wording is agreed.</w:t>
      </w:r>
    </w:p>
    <w:p>
      <w:pPr>
        <w:spacing w:after="160"/>
        <w:jc w:val="both"/>
      </w:pPr>
      <w:r>
        <w:rPr>
          <w:rFonts w:ascii="Calibri" w:hAnsi="Calibri"/>
          <w:b w:val="0"/>
          <w:i w:val="0"/>
          <w:color w:val="000000"/>
          <w:sz w:val="22"/>
        </w:rPr>
        <w:t>The same set of amendments will apply to APG No. 2 (pre-shipment tranche, EUR 1,411,584.72) once issued at Factory Acceptance Test — no need for a separate bank review round at this stage.</w:t>
      </w:r>
    </w:p>
    <w:p>
      <w:pPr>
        <w:spacing w:after="160"/>
        <w:jc w:val="both"/>
      </w:pPr>
      <w:r>
        <w:rPr>
          <w:rFonts w:ascii="Calibri" w:hAnsi="Calibri"/>
          <w:b w:val="0"/>
          <w:i w:val="0"/>
          <w:color w:val="000000"/>
          <w:sz w:val="22"/>
        </w:rPr>
        <w:t>We are keeping this outside of Friday's EPC signing — it does not block the Agreement, only the advance-payment trigger further down the line — but the sooner Alpha Bank can turn this around, the sooner we can get Linyang's bank moving on the re-issue.</w:t>
      </w:r>
    </w:p>
    <w:p>
      <w:pPr>
        <w:spacing w:after="160"/>
        <w:jc w:val="both"/>
      </w:pPr>
      <w:r>
        <w:rPr>
          <w:rFonts w:ascii="Calibri" w:hAnsi="Calibri"/>
          <w:b w:val="0"/>
          <w:i w:val="0"/>
          <w:color w:val="000000"/>
          <w:sz w:val="22"/>
        </w:rPr>
        <w:t>Happy to jump on a call with you and Alpha Bank if that speeds things up.</w:t>
      </w:r>
    </w:p>
    <w:p>
      <w:pPr>
        <w:spacing w:after="160"/>
        <w:jc w:val="both"/>
      </w:pPr>
      <w:r>
        <w:rPr>
          <w:rFonts w:ascii="Calibri" w:hAnsi="Calibri"/>
          <w:b w:val="0"/>
          <w:i w:val="0"/>
          <w:color w:val="000000"/>
          <w:sz w:val="22"/>
        </w:rPr>
        <w:t>Kind regards,</w:t>
      </w:r>
    </w:p>
    <w:p>
      <w:pPr>
        <w:spacing w:after="0"/>
        <w:jc w:val="both"/>
      </w:pPr>
      <w:r>
        <w:rPr>
          <w:rFonts w:ascii="Calibri" w:hAnsi="Calibri"/>
          <w:b/>
          <w:i w:val="0"/>
          <w:color w:val="000000"/>
          <w:sz w:val="22"/>
        </w:rPr>
        <w:t>Alexander Papacosta</w:t>
      </w:r>
    </w:p>
    <w:p>
      <w:pPr>
        <w:spacing w:after="0"/>
        <w:jc w:val="both"/>
      </w:pPr>
      <w:r>
        <w:rPr>
          <w:rFonts w:ascii="Calibri" w:hAnsi="Calibri"/>
          <w:b w:val="0"/>
          <w:i w:val="0"/>
          <w:color w:val="000000"/>
          <w:sz w:val="22"/>
        </w:rPr>
        <w:t>Cyprus Director, Lighthief Cyprus Ltd</w:t>
      </w:r>
    </w:p>
    <w:p>
      <w:pPr>
        <w:spacing w:after="0"/>
        <w:jc w:val="both"/>
      </w:pPr>
      <w:r>
        <w:rPr>
          <w:rFonts w:ascii="Calibri" w:hAnsi="Calibri"/>
          <w:b w:val="0"/>
          <w:i w:val="0"/>
          <w:color w:val="000000"/>
          <w:sz w:val="22"/>
        </w:rPr>
        <w:t>office@lighthief.com · +357 99 164 158</w:t>
      </w:r>
    </w:p>
    <w:p/>
    <w:p>
      <w:r>
        <w:rPr>
          <w:rFonts w:ascii="Calibri" w:hAnsi="Calibri"/>
          <w:b w:val="0"/>
          <w:i/>
          <w:color w:val="404040"/>
          <w:sz w:val="16"/>
        </w:rPr>
        <w:t>Lighthief Cyprus Ltd · HE 477423 · 28 October Ave 249, Lophitis Business Center 1, Office 201, 3035 Limassol, Cyprus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