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0209C"/>
          <w:sz w:val="17"/>
        </w:rPr>
        <w:t>Document Reference: LCY-LTSA-GAL-2026</w:t>
        <w:br/>
        <w:t>Version: 4.4</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t>v4.1 — 6 Aug 2026: Mirrored EPC v6.5 round — end-to-end interface responsibility (§5.9A), EMS-affiliate carve-out clarified (§4.4(e)), SOH Year 10/15 extension-conditionality clarified (§10.2), Effective Date aligned to EPC Order Date (§1).</w:t>
        <w:br/>
        <w:t>v4.2 — 11 Aug 2026: Added order-of-precedence cross-reference (§2.4A, mirrors EPC §11.5); corrected stale EPC cross-reference from v6.3/§1A.5(e) to v6.5/§1A.5A; duplicated the colour-key legend to the front matter so it is visible from page one, not only at Annex LT-2.</w:t>
        <w:br/>
        <w:t>v4.3 — 13 Aug 2026: Corrected EMS contracting entity legal name from "R&amp;D Innovations Sp. z o.o." to "Disperon Sp. z o.o." (NIP, KRS and registered-office fields unaffected).</w:t>
        <w:br/>
        <w:t>v4.4 — 13 Aug 2026: Lowered late-payment interest (§7.5, §12.7(a)(i)) from ECB+8% to ECB+3%, matching the EPC’s negotiated rate (EPC §5A.4(b)(i)) — this mirror was missed in the v6.5 SCC-call round; no commercial rationale exists for treating LTSA Service Fee arrears differently from EPC milestone-payment arrears.</w:t>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rPr>
          <w:rFonts w:ascii="Calibri" w:hAnsi="Calibri"/>
          <w:i/>
          <w:color w:val="404040"/>
          <w:sz w:val="19"/>
        </w:rPr>
        <w:t>Agreed technical and service amendments through v4.2 are colour-coded by source (see the key below); most are integrated directly in the numbered clauses, with Timotheos’s July 2026 technical-review items collected in Annex LT-2 (repeated there for reference). Red = included as the Client requested; purple = included with our changes; orange = included with our counter-proposal; teal = raised by Dino Constantinou; blue = raised by Anastasios (lawyer); navy = base v4 drafting.</w:t>
      </w:r>
    </w:p>
    <w:p>
      <w:r>
        <w:rPr>
          <w:rFonts w:ascii="Calibri" w:hAnsi="Calibri"/>
          <w:b/>
          <w:color w:val="404040"/>
          <w:sz w:val="17"/>
        </w:rPr>
        <w:t xml:space="preserve">Colour key:  </w:t>
      </w:r>
      <w:r>
        <w:rPr>
          <w:rFonts w:ascii="Calibri" w:hAnsi="Calibri"/>
          <w:b/>
          <w:color w:val="C00000"/>
          <w:sz w:val="17"/>
        </w:rPr>
        <w:t xml:space="preserve">■ included as requested   </w:t>
      </w:r>
      <w:r>
        <w:rPr>
          <w:rFonts w:ascii="Calibri" w:hAnsi="Calibri"/>
          <w:b/>
          <w:color w:val="70209C"/>
          <w:sz w:val="17"/>
        </w:rPr>
        <w:t xml:space="preserve">■ included — our changes   </w:t>
      </w:r>
      <w:r>
        <w:rPr>
          <w:rFonts w:ascii="Calibri" w:hAnsi="Calibri"/>
          <w:b/>
          <w:color w:val="C06000"/>
          <w:sz w:val="17"/>
        </w:rPr>
        <w:t xml:space="preserve">■ included — our counter   </w:t>
      </w:r>
      <w:r>
        <w:rPr>
          <w:rFonts w:ascii="Calibri" w:hAnsi="Calibri"/>
          <w:b/>
          <w:color w:val="0F768A"/>
          <w:sz w:val="17"/>
        </w:rPr>
        <w:t xml:space="preserve">■ from Dino   </w:t>
      </w:r>
      <w:r>
        <w:rPr>
          <w:rFonts w:ascii="Calibri" w:hAnsi="Calibri"/>
          <w:b/>
          <w:color w:val="1F49C0"/>
          <w:sz w:val="17"/>
        </w:rPr>
        <w:t xml:space="preserve">■ from Anastasios   </w:t>
      </w:r>
      <w:r>
        <w:rPr>
          <w:rFonts w:ascii="Calibri" w:hAnsi="Calibri"/>
          <w:b/>
          <w:color w:val="1A365D"/>
          <w:sz w:val="17"/>
        </w:rPr>
        <w:t>■ base v4 drafting</w:t>
      </w:r>
    </w:p>
    <w:p>
      <w:r>
        <w:br w:type="page"/>
      </w:r>
    </w:p>
    <w:p>
      <w:pPr>
        <w:spacing w:before="320"/>
      </w:pPr>
      <w:r>
        <w:rPr>
          <w:b/>
          <w:color w:val="1A365D"/>
          <w:sz w:val="24"/>
        </w:rPr>
        <w:t>1. PARTIES</w:t>
      </w:r>
    </w:p>
    <w:p>
      <w:r>
        <w:rPr>
          <w:rFonts w:ascii="Calibri" w:hAnsi="Calibri"/>
          <w:b w:val="0"/>
          <w:color w:val="000000"/>
          <w:sz w:val="22"/>
        </w:rPr>
        <w:t>This Long-Term Service Agreement (“Agreement”) is made as of [●] 2026 (“Effective Date”)</w:t>
      </w:r>
      <w:r>
        <w:rPr>
          <w:rFonts w:ascii="Calibri" w:hAnsi="Calibri"/>
          <w:b w:val="0"/>
          <w:color w:val="70209C"/>
          <w:sz w:val="21"/>
        </w:rPr>
        <w:t>, being the same date as the Order Date under the EPC Agreement (Ref. LCY-EPC-GAL-B1-2026, Section 1A.4). The Parties intend to execute this Agreement together with the EPC Agreement, consistent with Section 1A.8 of the EPC Agreement.</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the Republic of Cyprus, with registered office at Karaiskaki 6, City House, 3032 Limassol, Cyprus, Registration No. HE 303759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two (2) days (48 hours) per Park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 The Service Provider shall, at no additional charge, provide the Client (or up to three (3) Client representatives nominated in writing) with training on the use of the Monitoring Platform and portal, comprising one (1) session at or shortly after PAC and one (1) refresher session per calendar year on reasonable notice, or promptly following any material change to the Monitoring Platform.</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alarm/event logs, BMS/PCS/EMS logs, maintenance records, SOH certificates and availability calculations for a minimum of fifteen (15) years from the Commissioning Date, and for five (5) years following termination. The Client shall have continuous access to and the right to export all such data at any time. Data shall be retained in formats acceptable to the OEM (Linyang) for warranty claims and to any applicable regulatory authority.</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Total Scheduled Downtime shall not exceed two (2) days (48 hours) per Park per calendar year, excluding Force Majeure events. Maintenance visits shall be pre-scheduled at least thirty (30) days in advance, confirmed by the Client, and performed in low-dispatch windows (preferably between 04:00 and 08:00 local time). Scheduled Downtime exceeding 48 consecutive hours per Park requires the Client's prior written approval except for safety emergencies.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color w:val="70209C"/>
          <w:sz w:val="20"/>
        </w:rPr>
        <w:t>6.9 Maintenance Records</w:t>
      </w:r>
    </w:p>
    <w:p>
      <w:r>
        <w:rPr>
          <w:b w:val="0"/>
          <w:sz w:val="20"/>
        </w:rPr>
        <w:t>The Service Provider shall maintain detailed records of all maintenance activities, findings, and recommendations, and shall provide copies to the Client upon request.</w:t>
      </w:r>
    </w:p>
    <w:p>
      <w:r>
        <w:rPr>
          <w:b w:val="0"/>
          <w:color w:val="70209C"/>
          <w:sz w:val="20"/>
        </w:rPr>
        <w:t>6.10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The Service Fee is fixed for the Initial Term (five (5) years). No adjustment shall apply during the Initial Term. After the Initial Term, the Service Fee may be adjusted only by written agreement of both Parties.</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three percent (3%)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immediately upon alert generation (automated 24/7 platform); duty technician acknowledgement within thirty (30) minutes; on-site attendance (if required) within eight (8) hours. For any safety risk the Service Provider shall apply immediate remote isolation or safe-shutdown command without waiting for acknowledgement.</w:t>
      </w:r>
    </w:p>
    <w:p>
      <w:r>
        <w:rPr>
          <w:b w:val="0"/>
          <w:sz w:val="20"/>
        </w:rPr>
        <w:t>(b) Major Alerts: Initial remote response within four (4) hours; on-site attendance (if required) within six (6) hours of the alert.</w:t>
      </w:r>
    </w:p>
    <w:p>
      <w:r>
        <w:rPr>
          <w:b w:val="0"/>
          <w:sz w:val="20"/>
        </w:rPr>
        <w:t>(c) Minor Alerts: Initial remote response within twelve (12)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 xml:space="preserve">If the primary duty technician does not acknowledge a Critical Alert within thirty (30) minutes, the Monitoring Platform shall automatically escalate the alert to the backup technician </w:t>
      </w:r>
    </w:p>
    <w:p>
      <w:r>
        <w:rPr>
          <w:b w:val="0"/>
          <w:sz w:val="20"/>
        </w:rPr>
        <w:t>If on-site attendance has not been dispatched within two (2) hours of a Critical Alert, the operations manager shall escalate</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systems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Availability Rationale and LD Protection</w:t>
      </w:r>
    </w:p>
    <w:p>
      <w:r>
        <w:rPr>
          <w:b w:val="0"/>
          <w:sz w:val="20"/>
        </w:rPr>
        <w:t>The 97% Availability Guarantee applies at the Project level across Galascope 1 and Galascope 2 in aggregate, consistent with the Parties’ agreement. An isolated park outage does not constitute a breach of the guarantee provided the weighted average availability across both Project parks exceeds 97%. This structure was agreed by the Parties and reflects the aggregated (project-level) basis under which the Tier C service fee was agreed. Note: the group-level calculation does not eliminate the financial consequence of individual park underperformance — the Availability LD cap has been increased to fifty percent (50%) of the annual Service Fee (Section 9.5) to provide meaningful compensation even where one park drives the shortfall. The Parties acknowledge that requiring per-park 97% guarantees on individual smaller parks would require a materially higher service fee and was not the basis on which the Tier C fee was agreed.</w:t>
      </w:r>
    </w:p>
    <w:p>
      <w:r>
        <w:rPr>
          <w:b w:val="0"/>
          <w:sz w:val="20"/>
        </w:rPr>
        <w:t>9.3 Exclusions from Unavailable Hours</w:t>
      </w:r>
    </w:p>
    <w:p>
      <w:r>
        <w:rPr>
          <w:b w:val="0"/>
          <w:sz w:val="20"/>
        </w:rPr>
        <w:t>The following shall not count as Unavailable Hours:</w:t>
      </w:r>
    </w:p>
    <w:p>
      <w:r>
        <w:rPr>
          <w:b w:val="0"/>
          <w:sz w:val="20"/>
        </w:rPr>
        <w:t>(maximum 48 hours / 2 days per year per Park)</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color w:val="70209C"/>
          <w:sz w:val="20"/>
        </w:rPr>
        <w:t>(e) Downtime caused by EMS or third-party system failures — except that this exclusion shall not apply where the EMS failure is attributable to DISPERON (Disperon Sp. z o.o. — the EMS provider, which remains responsible for EMS performance under this Agreement) or any other entity within the Lighthief group of companies, or is caused by the Service Provider's configuration, monitoring, integration or cyber-security controls;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fifty percent (50%) of the annual Service Fee per Park. This cap shall not apply to wilful default or gross negligence by the Service Provider.</w:t>
      </w:r>
    </w:p>
    <w:p>
      <w:r>
        <w:rPr>
          <w:b w:val="0"/>
          <w:sz w:val="20"/>
        </w:rPr>
        <w:t>9.6 Sole Remedy</w:t>
      </w:r>
    </w:p>
    <w:p>
      <w:r>
        <w:rPr>
          <w:b w:val="0"/>
          <w:sz w:val="20"/>
        </w:rPr>
        <w:t>The Availability Liquidated Damages set out in this Section are the agreed primary remedy for ordinary failure to achieve the Availability Guarantee. They shall not exclude the Client's right to claim for wilful default, gross negligence, or repeated safety incidents by the Service Provider, for which the general liability provisions of Section 14 apply.</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94.62% of original rated capacity;</w:t>
      </w:r>
    </w:p>
    <w:p>
      <w:r>
        <w:rPr>
          <w:b w:val="0"/>
          <w:sz w:val="20"/>
        </w:rPr>
        <w:t>(b) End of Year 2: 91.77% of original rated capacity;</w:t>
      </w:r>
    </w:p>
    <w:p>
      <w:r>
        <w:rPr>
          <w:b w:val="0"/>
          <w:sz w:val="20"/>
        </w:rPr>
        <w:t>(c) End of Year 3: 89.91% of original rated capacity;</w:t>
      </w:r>
    </w:p>
    <w:p>
      <w:r>
        <w:rPr>
          <w:b w:val="0"/>
          <w:sz w:val="20"/>
        </w:rPr>
        <w:t>(d) End of Year 4: 88.00% of original rated capacity;</w:t>
      </w:r>
    </w:p>
    <w:p>
      <w:r>
        <w:rPr>
          <w:b w:val="0"/>
          <w:sz w:val="20"/>
        </w:rPr>
        <w:t>(e) End of Year 5: 86.78% of original rated capacity;</w:t>
      </w:r>
    </w:p>
    <w:p>
      <w:r>
        <w:rPr>
          <w:b w:val="0"/>
          <w:sz w:val="20"/>
        </w:rPr>
        <w:t>(f) End of Year 10: 79.58% of original rated capacity;</w:t>
      </w:r>
    </w:p>
    <w:p>
      <w:r>
        <w:rPr>
          <w:b w:val="0"/>
          <w:sz w:val="20"/>
        </w:rPr>
        <w:t>(g) End of Year 15: 73.61%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rFonts w:ascii="Calibri" w:hAnsi="Calibri"/>
          <w:b w:val="0"/>
          <w:color w:val="70209C"/>
          <w:sz w:val="21"/>
        </w:rPr>
        <w:t>The Year 10 and Year 15 Guaranteed SOH values above are each conditional on the Client having elected and paid for the corresponding OEM extended warranty (Years 6–10 and/or Years 11–15 respectively, per EPC Agreement Section 10.6-EXT and Schedule 2 of this Agreement). The decision to extend is with the Client; if the Client does not extend, the Guaranteed SOH under this Agreement is the Year 5 value (≥86.78%), and the Year 10/Year 15 values above do not apply.</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3%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the prevailing market per-kWh rate for equivalent battery modules</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stocked in the local warehouse include, at minimum: (Note: full transformer unit stocking is subject to further discussion given the distinct transformer ratings across Galascope 1 and Galascope 2; the Parties shall agree a transformer-spares arrangement within thirty (30) days of the LTSA Effective Date. In the interim, the Service Provider commits to a four (4) week OEM supply lead-time for transformer units.) Critical sub-components include:</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Insurance of minimum EUR 1,000,000 and Professional Indemnity Insurance of minimum EUR 2,000,000.</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three percent (3%)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The Client may terminate this Agreement for convenience by providing ninety (90) days' written notice. The Service Provider may terminate for convenience only after the Initial Term, by providing twelve (12) months' written notice, provided that such termination shall not prejudice warranty, data-handover or transition obligations.</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twenty-four (24) months preceding the claim. This cap shall not apply to wilful misconduct, gross negligence, fraud, breach of confidentiality, or the carve-outs in Section 14.3.</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DISPERON (Disperon Sp. z o.o.)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8,000 cycles (25°C, 90% DOD, 0.5C) |</w:t>
      </w:r>
    </w:p>
    <w:p>
      <w:r>
        <w:rPr>
          <w:b w:val="0"/>
          <w:sz w:val="20"/>
        </w:rPr>
        <w:t>| Energy Density | 175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8,000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30 MWh (Galascope 1: 20 MWh + Galascope 2: 10 MWh)</w:t>
        <w:br/>
        <w:t>AGREED ANNUAL SERVICE FEE: EUR 52,200 / Year (30 MWh x EUR 1,740 / MWh all-in), excluding VAT; EUR 62,118 / Year including 19% VAT. Fixed for the 15-year Initial Term (no CPI escalation). Site, equipment serial numbers and dates in Schedule 1 are completed at the order trigger (Connection Terms).</w:t>
      </w:r>
    </w:p>
    <w:p>
      <w:r>
        <w:rPr>
          <w:b w:val="0"/>
          <w:sz w:val="20"/>
        </w:rPr>
        <w:t>SELECTED SERVICE TIER: ☐ Tier A  ☐ Tier B  ☒ Tier C (default)</w:t>
        <w:br/>
        <w:t>AGREED ALL-IN RATE: EUR 1,740 / MWh / Year, which is inclusive of the DISPERON EMS/SCADA software subscription (i.e. the EMS subscription is NOT charged separately on top of this rate). This all-in Tier C rate is the rate agreed for this Project.</w:t>
      </w:r>
    </w:p>
    <w:p>
      <w:r>
        <w:rPr>
          <w:b w:val="0"/>
          <w:sz w:val="20"/>
        </w:rPr>
        <w:t>───────────────────────────────────────────────────────────────</w:t>
      </w:r>
    </w:p>
    <w:p>
      <w:r>
        <w:rPr>
          <w:b w:val="0"/>
          <w:sz w:val="20"/>
        </w:rPr>
        <w:t>BASE SERVICE PRICING (Per MWh per Year) — list/reference build-up; the agreed Tier C charge is the all-in EUR 1,740/MWh/Year in the Annual Fee Summary below</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(list ref.) | see all-in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(list ref.) | see all-in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(list ref.) | see all-in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not selected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€913.92/MWh/Yr (€27,417.60/Yr for 30 MWh) | ☐ |</w:t>
      </w:r>
    </w:p>
    <w:p>
      <w:r>
        <w:rPr>
          <w:b w:val="0"/>
          <w:sz w:val="20"/>
        </w:rPr>
        <w:t>| BESS Performance &amp; Product Warranty | 11-15 | €1,157.62/MWh/Yr (€34,728.60/Yr for 30 MWh) | ☐ |</w:t>
      </w:r>
    </w:p>
    <w:p>
      <w:r>
        <w:rPr>
          <w:b w:val="0"/>
          <w:sz w:val="20"/>
        </w:rPr>
        <w:t>| PCS + MVS Product Warranty | 6-10 | Not offered — Client has elected BESS-only extension | n/a |</w:t>
      </w:r>
    </w:p>
    <w:p>
      <w:r>
        <w:rPr>
          <w:b w:val="0"/>
          <w:sz w:val="20"/>
        </w:rPr>
        <w:t>| PCS + MVS Product Warranty | 11-15 | Not offered — Client has elected BESS-only extension | n/a |</w:t>
      </w:r>
    </w:p>
    <w:p>
      <w:r>
        <w:rPr>
          <w:b/>
          <w:sz w:val="20"/>
        </w:rPr>
        <w:t>Note: Extended warranty is available for a maximum of fifteen (15) years from COD (1 cycle per day condition). Years 16-20 warranty extension is not available from the OEM. Pricing above is the official Linyang Cyprus quotation for the Project (30 MWh combined System Capacity: Galascope 1, 20 MWh + Galascope 2, 10 MWh). Scope is BESS (cells, modules, racks, BMS) only — the PCS/MVS extended-warranty option is not offered under this LTSA at the Client's instruction. This extension is optional and is not selected by default; the Client may elect either period in writing at any time before expiry of the then-current warranty period, per EPC Section 10.6-EXT.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€400 | €12,000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 For the avoidance of doubt, this EUR 400/MWh/Year EMS/SCADA component is included within — and is not additional to — the all-in LTSA Service Fee of EUR 1,740/MWh/Year agreed for this Project; the EMS subscription is not invoiced separately on top of the LTSA Service Fee while this Agreement is in force. The standalone EUR 400/MWh/Year rate applies only if the Client exits or terminates the LTSA and the EMS subscription continues on a standalone basis.</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30 MWh |</w:t>
      </w:r>
    </w:p>
    <w:p>
      <w:r>
        <w:rPr>
          <w:b w:val="0"/>
          <w:sz w:val="20"/>
        </w:rPr>
        <w:t>| Installed EMS/SCADA Cost | €60,000 |</w:t>
      </w:r>
    </w:p>
    <w:p>
      <w:r>
        <w:rPr>
          <w:b w:val="0"/>
          <w:sz w:val="20"/>
        </w:rPr>
        <w:t>| Annual Subscription (20%) | €12,000 |</w:t>
      </w:r>
    </w:p>
    <w:p>
      <w:r>
        <w:rPr>
          <w:b w:val="0"/>
          <w:sz w:val="20"/>
        </w:rPr>
        <w:t>| EUR/MWh/Year | €400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(Tier C, all-in, incl. EMS) | €52,200 |</w:t>
      </w:r>
    </w:p>
    <w:p>
      <w:r>
        <w:rPr>
          <w:b w:val="0"/>
          <w:sz w:val="20"/>
        </w:rPr>
        <w:t>| Warranty Extension (if selected) | — (none selected) |</w:t>
      </w:r>
    </w:p>
    <w:p>
      <w:r>
        <w:rPr>
          <w:b w:val="0"/>
          <w:sz w:val="20"/>
        </w:rPr>
        <w:t>| EMS/SCADA Annual Subscription | €12,000 (included in Base above) |</w:t>
      </w:r>
    </w:p>
    <w:p>
      <w:r>
        <w:rPr>
          <w:b w:val="0"/>
          <w:sz w:val="20"/>
        </w:rPr>
        <w:t>| TOTAL ANNUAL FEE | €52,200 |</w:t>
      </w:r>
    </w:p>
    <w:p>
      <w:r>
        <w:rPr>
          <w:b w:val="0"/>
          <w:sz w:val="20"/>
        </w:rPr>
        <w:t>| VAT (19%) | €9,918 |</w:t>
      </w:r>
    </w:p>
    <w:p>
      <w:r>
        <w:rPr>
          <w:b w:val="0"/>
          <w:sz w:val="20"/>
        </w:rPr>
        <w:t>| TOTAL INCLUDING VAT | €62,118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LDs shall be calculated as follows: for each percentage point below 97% achieved, the Service Provider shall pay EUR 30 per MWh per day of affected unavailable capacity (minimum EUR 500 per day per Park). Where this daily rate would produce a lower aggregate than the fee-reduction percentages in the table above, the fee-reduction table governs; where the daily rate produces a higher aggregate, the daily rate governs. In all cases the cap in Section 9.5 applies.</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94.62% |</w:t>
      </w:r>
    </w:p>
    <w:p>
      <w:r>
        <w:rPr>
          <w:b w:val="0"/>
          <w:sz w:val="20"/>
        </w:rPr>
        <w:t>| 2 | 91.77% |</w:t>
      </w:r>
    </w:p>
    <w:p>
      <w:r>
        <w:rPr>
          <w:b w:val="0"/>
          <w:sz w:val="20"/>
        </w:rPr>
        <w:t>| 3 | 89.91% |</w:t>
      </w:r>
    </w:p>
    <w:p>
      <w:r>
        <w:rPr>
          <w:b w:val="0"/>
          <w:sz w:val="20"/>
        </w:rPr>
        <w:t>| 4 | 88.00% |</w:t>
      </w:r>
    </w:p>
    <w:p>
      <w:r>
        <w:rPr>
          <w:b w:val="0"/>
          <w:sz w:val="20"/>
        </w:rPr>
        <w:t>| 5 | 86.78% |</w:t>
      </w:r>
    </w:p>
    <w:p>
      <w:r>
        <w:rPr>
          <w:b w:val="0"/>
          <w:sz w:val="20"/>
        </w:rPr>
        <w:t>| 6 | 84.97% |</w:t>
      </w:r>
    </w:p>
    <w:p>
      <w:r>
        <w:rPr>
          <w:b w:val="0"/>
          <w:sz w:val="20"/>
        </w:rPr>
        <w:t>| 7 | 83.83% |</w:t>
      </w:r>
    </w:p>
    <w:p>
      <w:r>
        <w:rPr>
          <w:b w:val="0"/>
          <w:sz w:val="20"/>
        </w:rPr>
        <w:t>| 8 | 82.25% |</w:t>
      </w:r>
    </w:p>
    <w:p>
      <w:r>
        <w:rPr>
          <w:b w:val="0"/>
          <w:sz w:val="20"/>
        </w:rPr>
        <w:t>| 9 | 81.06% |</w:t>
      </w:r>
    </w:p>
    <w:p>
      <w:r>
        <w:rPr>
          <w:b w:val="0"/>
          <w:sz w:val="20"/>
        </w:rPr>
        <w:t>| 10 | 79.58% |</w:t>
      </w:r>
    </w:p>
    <w:p>
      <w:r>
        <w:rPr>
          <w:b w:val="0"/>
          <w:sz w:val="20"/>
        </w:rPr>
        <w:t>| 15 | 73.61%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3%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a condition precedent to the EPC advance payment (EPC Annex V6 §1A.5A) and is intended to be executed alongside and read in conjunction with:</w:t>
      </w:r>
    </w:p>
    <w:p>
      <w:pPr>
        <w:ind w:left="567"/>
      </w:pPr>
      <w:r>
        <w:rPr>
          <w:sz w:val="20"/>
        </w:rPr>
        <w:t>(a) EPC Agreement (LCY-EPC-GAL-B1-2026 (v6.5, August 2026)) between the same Parties;</w:t>
      </w:r>
    </w:p>
    <w:p>
      <w:pPr>
        <w:ind w:left="567"/>
      </w:pPr>
      <w:r>
        <w:rPr>
          <w:sz w:val="20"/>
        </w:rPr>
        <w:t>(b) OEM Direct Warranty Undertaking (LCY-OEM-DWU-001 v1.0) from Linyang Energy.</w:t>
      </w:r>
    </w:p>
    <w:p>
      <w:r>
        <w:rPr>
          <w:b w:val="0"/>
          <w:sz w:val="20"/>
        </w:rPr>
        <w:t>This LTSA is not required to be signed on the same date as the EPC Agreement; it must, however, be executed and in force before the EPC advance payment falls due. For the complete companion-document suite (including the Advance Payment Guarantees, the OEM Performance Guarantee, the EMS Subscription Addendum and the Technical Agreements), see Section 2.4 below.</w:t>
      </w:r>
    </w:p>
    <w:p>
      <w:r>
        <w:br w:type="page"/>
      </w:r>
    </w:p>
    <w:p>
      <w:pPr>
        <w:jc w:val="center"/>
      </w:pPr>
      <w:r>
        <w:rPr>
          <w:rFonts w:ascii="Calibri" w:hAnsi="Calibri"/>
          <w:b/>
          <w:color w:val="1A365D"/>
          <w:sz w:val="26"/>
        </w:rPr>
        <w:t>ANNEX LT-2 — AGREED TECHNICAL &amp; SERVICE AMENDMENTS (v6.3, July 2026)</w:t>
      </w:r>
    </w:p>
    <w:p>
      <w:r>
        <w:rPr>
          <w:rFonts w:ascii="Calibri" w:hAnsi="Calibri"/>
          <w:i/>
          <w:color w:val="404040"/>
          <w:sz w:val="19"/>
        </w:rPr>
        <w:t>This Annex incorporates the technical and service clauses agreed on the client (Timotheos / technical review) redline of July 2026. It forms part of this LTSA. Where this Annex is inconsistent with the body, this Annex prevails. Defined terms have the meaning given in the body.</w:t>
      </w:r>
    </w:p>
    <w:p>
      <w:r>
        <w:rPr>
          <w:rFonts w:ascii="Calibri" w:hAnsi="Calibri"/>
          <w:b/>
          <w:i w:val="0"/>
          <w:color w:val="404040"/>
          <w:sz w:val="17"/>
        </w:rPr>
        <w:t xml:space="preserve">Colour key:  </w:t>
      </w:r>
      <w:r>
        <w:rPr>
          <w:rFonts w:ascii="Calibri" w:hAnsi="Calibri"/>
          <w:b w:val="0"/>
          <w:i w:val="0"/>
          <w:color w:val="C00000"/>
          <w:sz w:val="17"/>
        </w:rPr>
        <w:t xml:space="preserve">■ included as requested   </w:t>
      </w:r>
      <w:r>
        <w:rPr>
          <w:rFonts w:ascii="Calibri" w:hAnsi="Calibri"/>
          <w:b w:val="0"/>
          <w:i w:val="0"/>
          <w:color w:val="70209C"/>
          <w:sz w:val="17"/>
        </w:rPr>
        <w:t xml:space="preserve">■ included — our changes   </w:t>
      </w:r>
      <w:r>
        <w:rPr>
          <w:rFonts w:ascii="Calibri" w:hAnsi="Calibri"/>
          <w:b w:val="0"/>
          <w:i w:val="0"/>
          <w:color w:val="C06000"/>
          <w:sz w:val="17"/>
        </w:rPr>
        <w:t xml:space="preserve">■ included — our counter   </w:t>
      </w:r>
      <w:r>
        <w:rPr>
          <w:rFonts w:ascii="Calibri" w:hAnsi="Calibri"/>
          <w:b w:val="0"/>
          <w:i w:val="0"/>
          <w:color w:val="0F768A"/>
          <w:sz w:val="17"/>
        </w:rPr>
        <w:t xml:space="preserve">■ from Dino   </w:t>
      </w:r>
      <w:r>
        <w:rPr>
          <w:rFonts w:ascii="Calibri" w:hAnsi="Calibri"/>
          <w:b w:val="0"/>
          <w:i w:val="0"/>
          <w:color w:val="1F49C0"/>
          <w:sz w:val="17"/>
        </w:rPr>
        <w:t xml:space="preserve">■ from Anastasios   </w:t>
      </w:r>
      <w:r>
        <w:rPr>
          <w:rFonts w:ascii="Calibri" w:hAnsi="Calibri"/>
          <w:b w:val="0"/>
          <w:i w:val="0"/>
          <w:color w:val="1A365D"/>
          <w:sz w:val="17"/>
        </w:rPr>
        <w:t>■ base v6 amendment</w:t>
      </w:r>
    </w:p>
    <w:p>
      <w:pPr>
        <w:spacing w:before="120" w:after="40"/>
      </w:pPr>
      <w:r>
        <w:rPr>
          <w:rFonts w:ascii="Calibri" w:hAnsi="Calibri"/>
          <w:b/>
          <w:color w:val="70209C"/>
          <w:sz w:val="20"/>
        </w:rPr>
        <w:t xml:space="preserve">2.4  Integrated Project-Document suite.  </w:t>
      </w:r>
      <w:r>
        <w:rPr>
          <w:rFonts w:ascii="Calibri" w:hAnsi="Calibri"/>
          <w:color w:val="70209C"/>
          <w:sz w:val="20"/>
        </w:rPr>
        <w:t>This Agreement is part of a single integrated Project-Document suite comprising the EPC Agreement, the Technical Agreements, the OEM Direct Warranty Undertaking, the OEM Warranty Terms, the Advance Payment Guarantees, the OEM Performance Guarantee and the EMS Subscription Agreement, and shall be interpreted consistently with them so that there is no gap in responsibility for operation, maintenance, warranty preservation or performance.</w:t>
      </w:r>
    </w:p>
    <w:p>
      <w:pPr>
        <w:spacing w:after="40" w:before="120"/>
      </w:pPr>
      <w:r>
        <w:rPr>
          <w:rFonts w:ascii="Calibri" w:hAnsi="Calibri"/>
          <w:b/>
          <w:color w:val="70209C"/>
          <w:sz w:val="20"/>
        </w:rPr>
        <w:t xml:space="preserve">2.4A  Order of precedence.  </w:t>
      </w:r>
      <w:r>
        <w:rPr>
          <w:rFonts w:ascii="Calibri" w:hAnsi="Calibri"/>
          <w:b w:val="0"/>
          <w:color w:val="70209C"/>
          <w:sz w:val="20"/>
        </w:rPr>
        <w:t>In the event of any inconsistency or conflict between the documents referred to in Section 2.4, the order of precedence set out in the EPC Agreement (Section 11.5) shall apply: (1) the EPC Agreement; (2) this LTSA; (3) the Advance Payment Guarantees and the OEM Performance Guarantee; (4) the OEM Direct Warranty Undertaking and the OEM Warranty Terms; (5) the EMS Subscription Addendum; (6) the Technical Agreements.</w:t>
      </w:r>
    </w:p>
    <w:p>
      <w:pPr>
        <w:spacing w:before="120" w:after="40"/>
      </w:pPr>
      <w:r>
        <w:rPr>
          <w:rFonts w:ascii="Calibri" w:hAnsi="Calibri"/>
          <w:b/>
          <w:color w:val="70209C"/>
          <w:sz w:val="20"/>
        </w:rPr>
        <w:t xml:space="preserve">Definitions — Restoration and Resolution.  </w:t>
      </w:r>
      <w:r>
        <w:rPr>
          <w:rFonts w:ascii="Calibri" w:hAnsi="Calibri"/>
          <w:color w:val="70209C"/>
          <w:sz w:val="20"/>
        </w:rPr>
        <w:t>“Restoration Time” means the time from detection of a fault to restoration of safe operational capability (including safe partial operation where full operation is not immediately possible). “Resolution Time” means the time from detection to permanent repair/replacement, recommissioning and incident closure. “Repeated Service Failure” means three or more Critical breaches of the same or similar cause within a rolling twelve (12) months.</w:t>
      </w:r>
    </w:p>
    <w:p>
      <w:pPr>
        <w:spacing w:before="120" w:after="40"/>
      </w:pPr>
      <w:r>
        <w:rPr>
          <w:rFonts w:ascii="Calibri" w:hAnsi="Calibri"/>
          <w:b/>
          <w:color w:val="70209C"/>
          <w:sz w:val="20"/>
        </w:rPr>
        <w:t xml:space="preserve">4.1A  Selected Tier.  </w:t>
      </w:r>
      <w:r>
        <w:rPr>
          <w:rFonts w:ascii="Calibri" w:hAnsi="Calibri"/>
          <w:color w:val="70209C"/>
          <w:sz w:val="20"/>
        </w:rPr>
        <w:t>Unless the Client expressly selects otherwise in Schedule 2, the Project shall be treated as Tier C from PAC for both Galascope 1 and Galascope 2 (corrective maintenance, local spare parts, 97% availability guarantee, priority response, warranty-preservation services and annual performance testing).</w:t>
      </w:r>
    </w:p>
    <w:p>
      <w:pPr>
        <w:spacing w:before="120" w:after="40"/>
      </w:pPr>
      <w:r>
        <w:rPr>
          <w:rFonts w:ascii="Calibri" w:hAnsi="Calibri"/>
          <w:b/>
          <w:color w:val="70209C"/>
          <w:sz w:val="20"/>
        </w:rPr>
        <w:t xml:space="preserve">4.3A  Corrective Maintenance — scope.  </w:t>
      </w:r>
      <w:r>
        <w:rPr>
          <w:rFonts w:ascii="Calibri" w:hAnsi="Calibri"/>
          <w:color w:val="70209C"/>
          <w:sz w:val="20"/>
        </w:rPr>
        <w:t>Corrective Maintenance includes all diagnosis, labour, travel within Cyprus, removal, installation, recommissioning, configuration restoration, testing and incident documentation required to return the affected BESS, PCS, BMS, MV switchgear, SCADA gateway and related controls to service, except to the extent a cost is expressly excluded under Schedule 2.</w:t>
      </w:r>
    </w:p>
    <w:p>
      <w:pPr>
        <w:spacing w:before="120" w:after="40"/>
      </w:pPr>
      <w:r>
        <w:rPr>
          <w:rFonts w:ascii="Calibri" w:hAnsi="Calibri"/>
          <w:b/>
          <w:color w:val="70209C"/>
          <w:sz w:val="20"/>
        </w:rPr>
        <w:t xml:space="preserve">4.4A  Exclusions — causation and burden.  </w:t>
      </w:r>
      <w:r>
        <w:rPr>
          <w:rFonts w:ascii="Calibri" w:hAnsi="Calibri"/>
          <w:color w:val="70209C"/>
          <w:sz w:val="20"/>
        </w:rPr>
        <w:t>Exclusions apply only to the extent the excluded event directly caused the relevant loss, downtime or degradation. The Service Provider continues to provide monitoring, diagnosis, emergency response, safe isolation, mitigation, documentation and warranty-claim support notwithstanding any exclusion.</w:t>
      </w:r>
    </w:p>
    <w:p>
      <w:pPr>
        <w:spacing w:before="120" w:after="40"/>
      </w:pPr>
      <w:r>
        <w:rPr>
          <w:rFonts w:ascii="Calibri" w:hAnsi="Calibri"/>
          <w:b/>
          <w:color w:val="70209C"/>
          <w:sz w:val="20"/>
        </w:rPr>
        <w:t xml:space="preserve">5.2A  Minimum monitored parameters.  </w:t>
      </w:r>
      <w:r>
        <w:rPr>
          <w:rFonts w:ascii="Calibri" w:hAnsi="Calibri"/>
          <w:color w:val="70209C"/>
          <w:sz w:val="20"/>
        </w:rPr>
        <w:t>Monitoring shall include, at minimum, cell-level voltage and temperature, string/container SOC and SOH, current, power limits, alarm/fault codes, PCS status, transformer/MV status, HVAC/liquid-cooling status, fire-system and gas-detection status, emergency stop, auxiliary supply, communication status, EMS command execution and DSO/SCADA telemetry.</w:t>
      </w:r>
    </w:p>
    <w:p>
      <w:pPr>
        <w:spacing w:before="120" w:after="40"/>
      </w:pPr>
      <w:r>
        <w:rPr>
          <w:rFonts w:ascii="Calibri" w:hAnsi="Calibri"/>
          <w:b/>
          <w:color w:val="70209C"/>
          <w:sz w:val="20"/>
        </w:rPr>
        <w:t xml:space="preserve">5.6A  Reporting content.  </w:t>
      </w:r>
      <w:r>
        <w:rPr>
          <w:rFonts w:ascii="Calibri" w:hAnsi="Calibri"/>
          <w:color w:val="70209C"/>
          <w:sz w:val="20"/>
        </w:rPr>
        <w:t>Reports shall include raw-data extracts, incident log, downtime classification with excluded-hour justification, availability per Park and in aggregate, SOH trend, cell imbalance, thermal deviation, firmware/software version, open punch items, spare-parts usage, warranty notices, cyber/security events and recommendations. The Client may reasonably challenge a classification.</w:t>
      </w:r>
    </w:p>
    <w:p>
      <w:pPr>
        <w:spacing w:before="120" w:after="40"/>
      </w:pPr>
      <w:r>
        <w:rPr>
          <w:rFonts w:ascii="Calibri" w:hAnsi="Calibri"/>
          <w:b/>
          <w:color w:val="70209C"/>
          <w:sz w:val="20"/>
        </w:rPr>
        <w:t xml:space="preserve">5.8A  Client data ownership.  </w:t>
      </w:r>
      <w:r>
        <w:rPr>
          <w:rFonts w:ascii="Calibri" w:hAnsi="Calibri"/>
          <w:color w:val="70209C"/>
          <w:sz w:val="20"/>
        </w:rPr>
        <w:t>The Client owns all operational, technical, performance, market, dispatch, SCADA, BMS, PCS, SOH and availability data generated by or relating to the BESS. The Service Provider shall not use identifiable Client data for benchmarking, training, product development or third-party purposes without the Client's prior written consent.</w:t>
      </w:r>
    </w:p>
    <w:p>
      <w:r>
        <w:rPr>
          <w:rFonts w:ascii="Calibri" w:hAnsi="Calibri"/>
          <w:b/>
          <w:color w:val="70209C"/>
          <w:sz w:val="21"/>
        </w:rPr>
        <w:t xml:space="preserve">5.9A  End-to-end interface responsibility.  </w:t>
      </w:r>
      <w:r>
        <w:rPr>
          <w:rFonts w:ascii="Calibri" w:hAnsi="Calibri"/>
          <w:b w:val="0"/>
          <w:color w:val="70209C"/>
          <w:sz w:val="21"/>
        </w:rPr>
        <w:t>The Service Provider remains responsible for end-to-end BMS, PCS, SCADA and EMS interface compatibility, communications, command execution and data integrity throughout the Term. Failure of an affiliate, software provider (including DISPERON) or subcontractor to deliver these functions shall not excuse the Service Provider’s responsibility to the Client, consistent with Section 4.4B of the EPC Agreement.</w:t>
      </w:r>
    </w:p>
    <w:p>
      <w:pPr>
        <w:spacing w:before="120" w:after="40"/>
      </w:pPr>
      <w:r>
        <w:rPr>
          <w:rFonts w:ascii="Calibri" w:hAnsi="Calibri"/>
          <w:b/>
          <w:color w:val="70209C"/>
          <w:sz w:val="20"/>
        </w:rPr>
        <w:t xml:space="preserve">6.1A  Warranty preservation.  </w:t>
      </w:r>
      <w:r>
        <w:rPr>
          <w:rFonts w:ascii="Calibri" w:hAnsi="Calibri"/>
          <w:color w:val="70209C"/>
          <w:sz w:val="20"/>
        </w:rPr>
        <w:t>The Service Provider shall perform all maintenance required to preserve the OEM warranty, DWU, SOH guarantees, corrosion warranty, fire-system warranty, PCS/MV warranty and insurance cover, and shall be liable for loss of warranty, claim rejection, downtime or degradation caused by its failure to perform or document required maintenance.</w:t>
      </w:r>
    </w:p>
    <w:p>
      <w:pPr>
        <w:spacing w:before="120" w:after="40"/>
      </w:pPr>
      <w:r>
        <w:rPr>
          <w:rFonts w:ascii="Calibri" w:hAnsi="Calibri"/>
          <w:b/>
          <w:color w:val="70209C"/>
          <w:sz w:val="20"/>
        </w:rPr>
        <w:t xml:space="preserve">6.3A  Warranty-Preservation File.  </w:t>
      </w:r>
      <w:r>
        <w:rPr>
          <w:rFonts w:ascii="Calibri" w:hAnsi="Calibri"/>
          <w:color w:val="70209C"/>
          <w:sz w:val="20"/>
        </w:rPr>
        <w:t>The Service Provider shall maintain a warranty-preservation file per Park, including maintenance checklists, photographs, torque records, thermal images, grounding/insulation results, firmware records, alarm/SOC logs, environmental records, fire-system tests, spare-part records and OEM communications, in a format acceptable to the OEM (Linyang).</w:t>
      </w:r>
    </w:p>
    <w:p>
      <w:pPr>
        <w:spacing w:before="120" w:after="40"/>
      </w:pPr>
      <w:r>
        <w:rPr>
          <w:rFonts w:ascii="Calibri" w:hAnsi="Calibri"/>
          <w:b/>
          <w:color w:val="70209C"/>
          <w:sz w:val="20"/>
        </w:rPr>
        <w:t xml:space="preserve">7.4A  No additional charge for warranty-preserving services.  </w:t>
      </w:r>
      <w:r>
        <w:rPr>
          <w:rFonts w:ascii="Calibri" w:hAnsi="Calibri"/>
          <w:color w:val="70209C"/>
          <w:sz w:val="20"/>
        </w:rPr>
        <w:t>No additional charge shall apply for services reasonably required to comply with the OEM manuals, preserve warranties, perform corrective maintenance within the selected Tier, prepare warranty claims, comply with agreed regulatory testing, deliver standard data exports, or remedy a Service Provider breach.</w:t>
      </w:r>
    </w:p>
    <w:p>
      <w:pPr>
        <w:spacing w:before="120" w:after="40"/>
      </w:pPr>
      <w:r>
        <w:rPr>
          <w:rFonts w:ascii="Calibri" w:hAnsi="Calibri"/>
          <w:b/>
          <w:color w:val="70209C"/>
          <w:sz w:val="20"/>
        </w:rPr>
        <w:t xml:space="preserve">8.1A  Redundant monitoring.  </w:t>
      </w:r>
      <w:r>
        <w:rPr>
          <w:rFonts w:ascii="Calibri" w:hAnsi="Calibri"/>
          <w:color w:val="70209C"/>
          <w:sz w:val="20"/>
        </w:rPr>
        <w:t>The Service Provider shall maintain redundant monitoring, alerting and communication channels, with automatic alerts to the Client for low SOC, low cell voltage, high temperature, HVAC/liquid-cooling fault, fire/gas alarm, PCS trip, communication loss and any condition that could void warranty. Failure of the monitoring platform shall itself be treated as a Major Alert (or Critical Alert where safety-related).</w:t>
      </w:r>
    </w:p>
    <w:p>
      <w:pPr>
        <w:spacing w:before="120" w:after="40"/>
      </w:pPr>
      <w:r>
        <w:rPr>
          <w:rFonts w:ascii="Calibri" w:hAnsi="Calibri"/>
          <w:b/>
          <w:color w:val="C06000"/>
          <w:sz w:val="20"/>
        </w:rPr>
        <w:t xml:space="preserve">8.2A  Maximum Restoration and Resolution Times.  </w:t>
      </w:r>
      <w:r>
        <w:rPr>
          <w:rFonts w:ascii="Calibri" w:hAnsi="Calibri"/>
          <w:color w:val="C06000"/>
          <w:sz w:val="20"/>
        </w:rPr>
        <w:t>Critical Alerts: safe remote isolation immediately where required; restoration plan within four (4) hours; safe partial or full restoration within twenty-four (24) hours where technically possible; permanent resolution within five (5) Business Days unless OEM parts are required. Major Alerts: restoration plan within one (1) Business Day; restoration within five (5) Business Days; permanent resolution within fifteen (15) Business Days. Minor Alerts: resolution at the next maintenance visit or within thirty (30) days, whichever is earlier. Any deviation requires a written remediation plan accepted by the Client, such acceptance not to be unreasonably withheld or delayed. These times are service targets and are subject to OEM part lead-times, Force Majeure and Client/site-access delays (which stop the clock); any service credit under Section 8.5 for a breach of these targets is not additional to the Availability Liquidated Damages for the same downtime.</w:t>
      </w:r>
    </w:p>
    <w:p>
      <w:pPr>
        <w:spacing w:before="120" w:after="40"/>
      </w:pPr>
      <w:r>
        <w:rPr>
          <w:rFonts w:ascii="Calibri" w:hAnsi="Calibri"/>
          <w:b/>
          <w:color w:val="70209C"/>
          <w:sz w:val="20"/>
        </w:rPr>
        <w:t xml:space="preserve">8.6A  Major Incident Procedure.  </w:t>
      </w:r>
      <w:r>
        <w:rPr>
          <w:rFonts w:ascii="Calibri" w:hAnsi="Calibri"/>
          <w:color w:val="70209C"/>
          <w:sz w:val="20"/>
        </w:rPr>
        <w:t>For any fire, thermal event, repeated trip, forced outage exceeding twenty-four (24) hours, cyber incident, grid-code breach, warranty-threatening event, or unavailable capacity exceeding 10% of a Park, the Service Provider shall notify the Client immediately, issue an initial incident report within twenty-four (24) hours and a root-cause analysis thereafter, and keep the Client updated until closure.</w:t>
      </w:r>
    </w:p>
    <w:p>
      <w:pPr>
        <w:spacing w:before="120" w:after="40"/>
      </w:pPr>
      <w:r>
        <w:rPr>
          <w:rFonts w:ascii="Calibri" w:hAnsi="Calibri"/>
          <w:b/>
          <w:color w:val="70209C"/>
          <w:sz w:val="20"/>
        </w:rPr>
        <w:t xml:space="preserve">8.7A  Safety-critical 24/7 response.  </w:t>
      </w:r>
      <w:r>
        <w:rPr>
          <w:rFonts w:ascii="Calibri" w:hAnsi="Calibri"/>
          <w:color w:val="70209C"/>
          <w:sz w:val="20"/>
        </w:rPr>
        <w:t>Critical Alerts, safety incidents, fire-system alarms, warranty-voiding SOC/voltage alerts, cyber incidents and complete Park outages require 24/7/365 operational response. On-site attendance for safety-critical events shall not be limited to Business Days where local personnel or emergency-contractor attendance is reasonably available.</w:t>
      </w:r>
    </w:p>
    <w:p>
      <w:pPr>
        <w:spacing w:before="120" w:after="40"/>
      </w:pPr>
      <w:r>
        <w:rPr>
          <w:rFonts w:ascii="Calibri" w:hAnsi="Calibri"/>
          <w:b/>
          <w:color w:val="70209C"/>
          <w:sz w:val="20"/>
        </w:rPr>
        <w:t xml:space="preserve">9.8  Chronic underperformance.  </w:t>
      </w:r>
      <w:r>
        <w:rPr>
          <w:rFonts w:ascii="Calibri" w:hAnsi="Calibri"/>
          <w:color w:val="70209C"/>
          <w:sz w:val="20"/>
        </w:rPr>
        <w:t>If Availability for any Park is below 95% in any contract year, or below 97% for two consecutive years, or there are three or more Critical Alert SLA breaches in a rolling twelve (12) months, the Client may require a remediation plan, an independent technical audit at the Service Provider's cost and additional spare stock.</w:t>
      </w:r>
    </w:p>
    <w:p>
      <w:pPr>
        <w:spacing w:before="120" w:after="40"/>
      </w:pPr>
      <w:r>
        <w:rPr>
          <w:rFonts w:ascii="Calibri" w:hAnsi="Calibri"/>
          <w:b/>
          <w:color w:val="70209C"/>
          <w:sz w:val="20"/>
        </w:rPr>
        <w:t xml:space="preserve">10.3A  Witnessed SOH/RTE testing.  </w:t>
      </w:r>
      <w:r>
        <w:rPr>
          <w:rFonts w:ascii="Calibri" w:hAnsi="Calibri"/>
          <w:color w:val="70209C"/>
          <w:sz w:val="20"/>
        </w:rPr>
        <w:t>SOH, usable AC capacity and RTE testing shall be performed under a pre-agreed protocol consistent with the EPC, Technical Agreements and OEM Warranty Terms. The Client and lender's Independent Engineer may witness testing. If an additional test requested by the Client confirms underperformance or a warranty issue, the Service Provider shall bear the test cost.</w:t>
      </w:r>
    </w:p>
    <w:p>
      <w:pPr>
        <w:spacing w:before="120" w:after="40"/>
      </w:pPr>
      <w:r>
        <w:rPr>
          <w:rFonts w:ascii="Calibri" w:hAnsi="Calibri"/>
          <w:b/>
          <w:color w:val="C06000"/>
          <w:sz w:val="20"/>
        </w:rPr>
        <w:t xml:space="preserve">10.4A  SOH remedy — scope.  </w:t>
      </w:r>
      <w:r>
        <w:rPr>
          <w:rFonts w:ascii="Calibri" w:hAnsi="Calibri"/>
          <w:color w:val="C06000"/>
          <w:sz w:val="20"/>
        </w:rPr>
        <w:t>Remedies for SOH underperformance shall restore the Client to the guaranteed position and shall include parts, labour, installation, recommissioning, testing, documentation and data updates. Shipping, customs and craneage attributable to an OEM warranty return shall be OEM-funded; the Service Provider shall manage and evidence the OEM claim. This does not apply to the extent a Client-caused exclusion directly caused the underperformance.</w:t>
      </w:r>
    </w:p>
    <w:p>
      <w:pPr>
        <w:spacing w:before="120" w:after="40"/>
      </w:pPr>
      <w:r>
        <w:rPr>
          <w:rFonts w:ascii="Calibri" w:hAnsi="Calibri"/>
          <w:b/>
          <w:color w:val="70209C"/>
          <w:sz w:val="20"/>
        </w:rPr>
        <w:t xml:space="preserve">10.6A  OEM reserve evidence.  </w:t>
      </w:r>
      <w:r>
        <w:rPr>
          <w:rFonts w:ascii="Calibri" w:hAnsi="Calibri"/>
          <w:color w:val="70209C"/>
          <w:sz w:val="20"/>
        </w:rPr>
        <w:t>The Service Provider shall provide annual evidence that the OEM warranty reserve, extended warranty, spare-part access and OEM support arrangements remain valid for the Project, and shall notify the Client within five (5) Business Days of any OEM dispute, insolvency risk, supply restriction, product recall, safety notice or firmware issue affecting the Project.</w:t>
      </w:r>
    </w:p>
    <w:p>
      <w:pPr>
        <w:spacing w:before="120" w:after="40"/>
      </w:pPr>
      <w:r>
        <w:rPr>
          <w:rFonts w:ascii="Calibri" w:hAnsi="Calibri"/>
          <w:b/>
          <w:color w:val="70209C"/>
          <w:sz w:val="20"/>
        </w:rPr>
        <w:t xml:space="preserve">11.3A  Local spare-parts warehouse.  </w:t>
      </w:r>
      <w:r>
        <w:rPr>
          <w:rFonts w:ascii="Calibri" w:hAnsi="Calibri"/>
          <w:color w:val="70209C"/>
          <w:sz w:val="20"/>
        </w:rPr>
        <w:t>A local spare-parts warehouse shall be operational no later than PAC, holding an agreed minimum stock of critical sub-components (control boards, sensors, fans, fuses, contactors) with part numbers, compatibility references, storage conditions and replenishment deadlines. Failure to maintain the agreed stock is a Service Provider default and related downtime counts as Unavailable. Stocking of full PCS units and transformers is subject to further agreement; in the interim these are supported by a four (4) week OEM supply commitment.</w:t>
      </w:r>
    </w:p>
    <w:p>
      <w:pPr>
        <w:spacing w:before="120" w:after="40"/>
      </w:pPr>
      <w:r>
        <w:rPr>
          <w:rFonts w:ascii="Calibri" w:hAnsi="Calibri"/>
          <w:b/>
          <w:color w:val="70209C"/>
          <w:sz w:val="20"/>
        </w:rPr>
        <w:t xml:space="preserve">11.6  Obsolescence and equivalent replacement.  </w:t>
      </w:r>
      <w:r>
        <w:rPr>
          <w:rFonts w:ascii="Calibri" w:hAnsi="Calibri"/>
          <w:color w:val="70209C"/>
          <w:sz w:val="20"/>
        </w:rPr>
        <w:t>The Service Provider shall use commercially reasonable efforts to support the availability of compatible spare parts, firmware and replacement components for at least fifteen (15) years. If an original component is obsolete, it shall provide an equivalent or better compatible replacement without loss of warranty, certification or grid-code compliance.</w:t>
      </w:r>
    </w:p>
    <w:p>
      <w:pPr>
        <w:spacing w:before="120" w:after="40"/>
      </w:pPr>
      <w:r>
        <w:rPr>
          <w:rFonts w:ascii="Calibri" w:hAnsi="Calibri"/>
          <w:b/>
          <w:color w:val="70209C"/>
          <w:sz w:val="20"/>
        </w:rPr>
        <w:t xml:space="preserve">12.5A / 12.7A  Client obligations and suspension — causation.  </w:t>
      </w:r>
      <w:r>
        <w:rPr>
          <w:rFonts w:ascii="Calibri" w:hAnsi="Calibri"/>
          <w:color w:val="70209C"/>
          <w:sz w:val="20"/>
        </w:rPr>
        <w:t>The Client's operational obligations shall not be treated as breached where the relevant condition was caused by EMS/BMS/PCS malfunction, Service Provider monitoring failure, Force Majeure, or the Service Provider's failure to provide timely alerts or operating instructions. Suspension of the Availability, SOH or warranty-related guarantees applies only to the extent a Client breach directly caused the non-performance, and only after written notice, a reasonable cure opportunity and Service Provider mitigation. Non-payment of genuinely disputed amounts shall not suspend safety monitoring, warranty-preservation alerts or data access.</w:t>
      </w:r>
    </w:p>
    <w:p>
      <w:pPr>
        <w:spacing w:before="120" w:after="40"/>
      </w:pPr>
      <w:r>
        <w:rPr>
          <w:rFonts w:ascii="Calibri" w:hAnsi="Calibri"/>
          <w:b/>
          <w:color w:val="70209C"/>
          <w:sz w:val="20"/>
        </w:rPr>
        <w:t xml:space="preserve">13.6  Transition assistance.  </w:t>
      </w:r>
      <w:r>
        <w:rPr>
          <w:rFonts w:ascii="Calibri" w:hAnsi="Calibri"/>
          <w:color w:val="70209C"/>
          <w:sz w:val="20"/>
        </w:rPr>
        <w:t>On expiry or termination the Service Provider shall provide up to ninety (90) days of transition assistance at agreed rates, including data export, passwords and access credentials, configuration files, register maps, firmware records, maintenance records, open-incident files, spare-parts list and warranty-claim files.</w:t>
      </w:r>
    </w:p>
    <w:p>
      <w:pPr>
        <w:spacing w:before="120" w:after="40"/>
      </w:pPr>
      <w:r>
        <w:rPr>
          <w:rFonts w:ascii="Calibri" w:hAnsi="Calibri"/>
          <w:b/>
          <w:color w:val="70209C"/>
          <w:sz w:val="20"/>
        </w:rPr>
        <w:t xml:space="preserve">14.3A / 14.4A  Additional liability carve-outs.  </w:t>
      </w:r>
      <w:r>
        <w:rPr>
          <w:rFonts w:ascii="Calibri" w:hAnsi="Calibri"/>
          <w:color w:val="70209C"/>
          <w:sz w:val="20"/>
        </w:rPr>
        <w:t>The liability limitations shall not apply to: cyber-security breach or unauthorised remote access caused by Service Provider systems; loss, corruption or withholding of Client data; regulatory or grid-code non-compliance within Service Provider scope; or safety incidents caused or worsened by Service Provider breach. Third-party-system exclusions shall not apply where the Service Provider selected, configured, integrated, maintained, monitored or recommended the relevant system, or where the fault arises at an interface for which the Service Provider or its affiliates are responsible.</w:t>
      </w:r>
    </w:p>
    <w:p>
      <w:pPr>
        <w:spacing w:before="120" w:after="40"/>
      </w:pPr>
      <w:r>
        <w:rPr>
          <w:rFonts w:ascii="Calibri" w:hAnsi="Calibri"/>
          <w:b/>
          <w:color w:val="70209C"/>
          <w:sz w:val="20"/>
        </w:rPr>
        <w:t xml:space="preserve">14.5A  OEM claim management.  </w:t>
      </w:r>
      <w:r>
        <w:rPr>
          <w:rFonts w:ascii="Calibri" w:hAnsi="Calibri"/>
          <w:color w:val="70209C"/>
          <w:sz w:val="20"/>
        </w:rPr>
        <w:t>For claims relating to OEM equipment defects the Service Provider shall actively manage, prosecute and evidence the claim with the OEM, and remains liable for loss caused by its failure to preserve warranty rights, perform maintenance, maintain records/spares, mitigate downtime, implement temporary solutions or comply with its service obligations.</w:t>
      </w:r>
    </w:p>
    <w:p>
      <w:pPr>
        <w:spacing w:before="120" w:after="40"/>
      </w:pPr>
      <w:r>
        <w:rPr>
          <w:rFonts w:ascii="Calibri" w:hAnsi="Calibri"/>
          <w:b/>
          <w:color w:val="70209C"/>
          <w:sz w:val="20"/>
        </w:rPr>
        <w:t xml:space="preserve">16.4  Force Majeure — limitations.  </w:t>
      </w:r>
      <w:r>
        <w:rPr>
          <w:rFonts w:ascii="Calibri" w:hAnsi="Calibri"/>
          <w:color w:val="70209C"/>
          <w:sz w:val="20"/>
        </w:rPr>
        <w:t>Force Majeure shall not excuse obligations to maintain monitoring where technically possible, provide data, issue alerts, preserve warranty rights, mitigate downtime, maintain insurance, protect cyber-security, deliver records, or perform obligations capable of being performed remotely.</w:t>
      </w:r>
    </w:p>
    <w:p>
      <w:pPr>
        <w:spacing w:before="120" w:after="40"/>
      </w:pPr>
      <w:r>
        <w:rPr>
          <w:rFonts w:ascii="Calibri" w:hAnsi="Calibri"/>
          <w:b/>
          <w:color w:val="70209C"/>
          <w:sz w:val="20"/>
        </w:rPr>
        <w:t xml:space="preserve">18A  Cyber security (framework).  </w:t>
      </w:r>
      <w:r>
        <w:rPr>
          <w:rFonts w:ascii="Calibri" w:hAnsi="Calibri"/>
          <w:color w:val="70209C"/>
          <w:sz w:val="20"/>
        </w:rPr>
        <w:t>The Service Provider shall implement and maintain cyber-security controls for the industrial control systems consistent with recognised good practice (IEC 62443 principles), including multi-factor authentication, role-based access control, secure remote access, encryption in transit and at rest, audit logs, least-privilege accounts, vulnerability management, firmware-integrity controls and annual access review. The specific control set and any formal IEC 62443 / NIS2 certification shall be confirmed with the ICS/EMS provider (DISPERON).</w:t>
      </w:r>
    </w:p>
    <w:p>
      <w:pPr>
        <w:spacing w:before="120" w:after="40"/>
      </w:pPr>
      <w:r>
        <w:rPr>
          <w:rFonts w:ascii="Calibri" w:hAnsi="Calibri"/>
          <w:b/>
          <w:color w:val="70209C"/>
          <w:sz w:val="20"/>
        </w:rPr>
        <w:t xml:space="preserve">19.5A  SCADA/DSO communication failures.  </w:t>
      </w:r>
      <w:r>
        <w:rPr>
          <w:rFonts w:ascii="Calibri" w:hAnsi="Calibri"/>
          <w:color w:val="70209C"/>
          <w:sz w:val="20"/>
        </w:rPr>
        <w:t>SCADA/DSO communication failures attributable to the Service Provider, EMS/SCADA configuration, protocol mapping, firmware changes, communication gateway, maintenance activity or cyber-security controls shall count as Unavailable Hours where they prevent dispatch, monitoring, regulatory reporting or DSO-approved operation.</w:t>
      </w:r>
    </w:p>
    <w:p>
      <w:pPr>
        <w:spacing w:before="120" w:after="40"/>
      </w:pPr>
      <w:r>
        <w:rPr>
          <w:rFonts w:ascii="Calibri" w:hAnsi="Calibri"/>
          <w:b/>
          <w:color w:val="70209C"/>
          <w:sz w:val="20"/>
        </w:rPr>
        <w:t xml:space="preserve">19.8A  Editable documentation.  </w:t>
      </w:r>
      <w:r>
        <w:rPr>
          <w:rFonts w:ascii="Calibri" w:hAnsi="Calibri"/>
          <w:color w:val="70209C"/>
          <w:sz w:val="20"/>
        </w:rPr>
        <w:t>Documentation shall be provided in editable electronic format where reasonably available, including native settings/configuration files, relay settings, SCADA point lists, Modbus/IEC 61850/IEC 60870-5-104 maps, firmware versions, access-control handover records, maintenance photographs and independent test certificates.</w:t>
      </w:r>
    </w:p>
    <w:p>
      <w:pPr>
        <w:spacing w:before="120" w:after="40"/>
      </w:pPr>
      <w:r>
        <w:rPr>
          <w:rFonts w:ascii="Calibri" w:hAnsi="Calibri"/>
          <w:b/>
          <w:color w:val="70209C"/>
          <w:sz w:val="20"/>
        </w:rPr>
        <w:t xml:space="preserve">20.5  Expert determination.  </w:t>
      </w:r>
      <w:r>
        <w:rPr>
          <w:rFonts w:ascii="Calibri" w:hAnsi="Calibri"/>
          <w:color w:val="70209C"/>
          <w:sz w:val="20"/>
        </w:rPr>
        <w:t>Technical disputes concerning Availability, SOH, RTE, capacity, root cause, warranty attribution, excluded hours or service failure may be referred by either Party to an independent technical expert agreed by the Parties or appointed by the President of ETEK. The expert's determination shall be binding absent manifest error.</w:t>
      </w:r>
    </w:p>
    <w:p>
      <w:pPr>
        <w:spacing w:before="120" w:after="40"/>
      </w:pPr>
      <w:r>
        <w:rPr>
          <w:rFonts w:ascii="Calibri" w:hAnsi="Calibri"/>
          <w:b/>
          <w:color w:val="70209C"/>
          <w:sz w:val="20"/>
        </w:rPr>
        <w:t xml:space="preserve">21.3B  Lender step-in.  </w:t>
      </w:r>
      <w:r>
        <w:rPr>
          <w:rFonts w:ascii="Calibri" w:hAnsi="Calibri"/>
          <w:color w:val="70209C"/>
          <w:sz w:val="20"/>
        </w:rPr>
        <w:t>Any project-finance lender or security agent may step in, receive notices, cure Client defaults, assume payment obligations, enforce this Agreement, direct payment of proceeds and require continued performance for a reasonable cure period following an enforcement event. The Service Provider shall, acting reasonably, enter into a direct agreement with the lender/security agent.</w:t>
      </w:r>
    </w:p>
    <w:p>
      <w:pPr>
        <w:spacing w:before="120" w:after="40"/>
      </w:pPr>
      <w:r>
        <w:rPr>
          <w:rFonts w:ascii="Calibri" w:hAnsi="Calibri"/>
          <w:b/>
          <w:color w:val="70209C"/>
          <w:sz w:val="20"/>
        </w:rPr>
        <w:t xml:space="preserve">Assignment — Client financing.  </w:t>
      </w:r>
      <w:r>
        <w:rPr>
          <w:rFonts w:ascii="Calibri" w:hAnsi="Calibri"/>
          <w:color w:val="70209C"/>
          <w:sz w:val="20"/>
        </w:rPr>
        <w:t>The Client may assign or charge its rights under this Agreement and any proceeds to any project-finance lender, security agent, refinancing lender, purchaser of the Project or successor owner without the Service Provider's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