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pPr>
      <w:r>
        <w:t>EMS SOFTWARE SUBSCRIPTION AGREEMENT</w:t>
      </w:r>
    </w:p>
    <w:p>
      <w:r>
        <w:t>DISPERON Energy Management System - Annual Software Subscription</w:t>
      </w:r>
    </w:p>
    <w:p/>
    <w:tbl>
      <w:tblPr>
        <w:tblStyle w:val="TableGrid"/>
        <w:tblW w:type="auto" w:w="0"/>
        <w:tblLook w:firstColumn="1" w:firstRow="1" w:lastColumn="0" w:lastRow="0" w:noHBand="0" w:noVBand="1" w:val="04A0"/>
      </w:tblPr>
      <w:tblGrid>
        <w:gridCol w:w="4320"/>
        <w:gridCol w:w="4320"/>
      </w:tblGrid>
      <w:tr>
        <w:tc>
          <w:tcPr>
            <w:tcW w:type="dxa" w:w="4320"/>
          </w:tcPr>
          <w:p>
            <w:r>
              <w:t>Document Ref:</w:t>
            </w:r>
          </w:p>
        </w:tc>
        <w:tc>
          <w:tcPr>
            <w:tcW w:type="dxa" w:w="4320"/>
          </w:tcPr>
          <w:p>
            <w:r>
              <w:t>LCY-EMS-GAL-2026</w:t>
            </w:r>
          </w:p>
        </w:tc>
      </w:tr>
      <w:tr>
        <w:tc>
          <w:tcPr>
            <w:tcW w:type="dxa" w:w="4320"/>
          </w:tcPr>
          <w:p>
            <w:r>
              <w:t>Date:</w:t>
            </w:r>
          </w:p>
        </w:tc>
        <w:tc>
          <w:tcPr>
            <w:tcW w:type="dxa" w:w="4320"/>
          </w:tcPr>
          <w:p>
            <w:r>
              <w:t>May 2026</w:t>
            </w:r>
          </w:p>
        </w:tc>
      </w:tr>
      <w:tr>
        <w:tc>
          <w:tcPr>
            <w:tcW w:type="dxa" w:w="4320"/>
          </w:tcPr>
          <w:p>
            <w:r>
              <w:t>Version:</w:t>
            </w:r>
          </w:p>
        </w:tc>
        <w:tc>
          <w:tcPr>
            <w:tcW w:type="dxa" w:w="4320"/>
          </w:tcPr>
          <w:p>
            <w:r>
              <w:t>1.0</w:t>
            </w:r>
          </w:p>
        </w:tc>
      </w:tr>
      <w:tr>
        <w:tc>
          <w:tcPr>
            <w:tcW w:type="dxa" w:w="4320"/>
          </w:tcPr>
          <w:p>
            <w:r>
              <w:t>EPC Agreement:</w:t>
            </w:r>
          </w:p>
        </w:tc>
        <w:tc>
          <w:tcPr>
            <w:tcW w:type="dxa" w:w="4320"/>
          </w:tcPr>
          <w:p>
            <w:r>
              <w:t>LCY-EPC-GAL-B1-2026</w:t>
            </w:r>
          </w:p>
        </w:tc>
      </w:tr>
      <w:tr>
        <w:tc>
          <w:tcPr>
            <w:tcW w:type="dxa" w:w="4320"/>
          </w:tcPr>
          <w:p>
            <w:r>
              <w:t>Client:</w:t>
            </w:r>
          </w:p>
        </w:tc>
        <w:tc>
          <w:tcPr>
            <w:tcW w:type="dxa" w:w="4320"/>
          </w:tcPr>
          <w:p>
            <w:r>
              <w:t>Galascope Ltd</w:t>
            </w:r>
          </w:p>
        </w:tc>
      </w:tr>
      <w:tr>
        <w:tc>
          <w:tcPr>
            <w:tcW w:type="dxa" w:w="4320"/>
          </w:tcPr>
          <w:p>
            <w:r>
              <w:t>Service Provider:</w:t>
            </w:r>
          </w:p>
        </w:tc>
        <w:tc>
          <w:tcPr>
            <w:tcW w:type="dxa" w:w="4320"/>
          </w:tcPr>
          <w:p>
            <w:r>
              <w:t>Disperon Sp. z o.o. (trading as DISPERON), under Lighthief International Ltd</w:t>
            </w:r>
          </w:p>
        </w:tc>
      </w:tr>
    </w:tbl>
    <w:p/>
    <w:p>
      <w:pPr>
        <w:pStyle w:val="Heading2"/>
        <w:spacing w:before="120"/>
      </w:pPr>
      <w:r>
        <w:t>PARTIES</w:t>
      </w:r>
    </w:p>
    <w:tbl>
      <w:tblPr>
        <w:tblStyle w:val="TableGrid"/>
        <w:tblW w:type="auto" w:w="0"/>
        <w:tblLook w:firstColumn="1" w:firstRow="1" w:lastColumn="0" w:lastRow="0" w:noHBand="0" w:noVBand="1" w:val="04A0"/>
      </w:tblPr>
      <w:tblGrid>
        <w:gridCol w:w="4320"/>
        <w:gridCol w:w="4320"/>
      </w:tblGrid>
      <w:tr>
        <w:tc>
          <w:tcPr>
            <w:tcW w:type="dxa" w:w="4320"/>
          </w:tcPr>
          <w:p>
            <w:r>
              <w:t>Service Provider:</w:t>
            </w:r>
          </w:p>
          <w:p>
            <w:r>
              <w:t>Disperon Sp. z o.o.</w:t>
            </w:r>
          </w:p>
          <w:p>
            <w:r>
              <w:t>(trading as DISPERON)</w:t>
            </w:r>
          </w:p>
          <w:p>
            <w:r>
              <w:t>NIP 9492265995 · KRS [●]</w:t>
            </w:r>
          </w:p>
          <w:p>
            <w:r>
              <w:t>Registered office: [●], Poland</w:t>
            </w:r>
          </w:p>
          <w:p>
            <w:r>
              <w:t>a company under Lighthief International Ltd</w:t>
            </w:r>
          </w:p>
        </w:tc>
        <w:tc>
          <w:tcPr>
            <w:tcW w:type="dxa" w:w="4320"/>
          </w:tcPr>
          <w:p>
            <w:r>
              <w:t>Client:</w:t>
              <w:br/>
              <w:t>Galascope Ltd</w:t>
              <w:br/>
              <w:t>Karaiskaki 6, City House, 3032 Limassol, Cyprus</w:t>
            </w:r>
          </w:p>
        </w:tc>
      </w:tr>
    </w:tbl>
    <w:p/>
    <w:p>
      <w:pPr>
        <w:pStyle w:val="Heading2"/>
        <w:spacing w:before="120"/>
      </w:pPr>
      <w:r>
        <w:t>BACKGROUND</w:t>
      </w:r>
    </w:p>
    <w:p>
      <w:pPr>
        <w:spacing w:after="80"/>
      </w:pPr>
      <w:r>
        <w:t>This EMS Software Subscription Agreement ("Addendum") governs the annual software subscription for the DISPERON Energy Management System ("EMS") deployed at Galascope Ltd's BESS installations under EPC Agreement LCY-EPC-GAL-B1-2026. The EMS hardware installation cost is included in the EPC Contract Price (Component B). This Addendum covers only the ongoing annual software licence, platform access, updates, and cloud services, billed separately from the EPC and LTSA.</w:t>
      </w:r>
    </w:p>
    <w:p>
      <w:pPr>
        <w:pStyle w:val="Heading2"/>
        <w:spacing w:before="120"/>
      </w:pPr>
      <w:r>
        <w:t>1. WHAT THE SUBSCRIPTION COVERS</w:t>
      </w:r>
    </w:p>
    <w:p>
      <w:pPr>
        <w:pStyle w:val="ListBullet"/>
        <w:spacing w:after="40"/>
      </w:pPr>
      <w:r>
        <w:t>24/7 cloud-hosted EMS platform access and real-time BESS monitoring dashboard</w:t>
      </w:r>
    </w:p>
    <w:p>
      <w:pPr>
        <w:pStyle w:val="ListBullet"/>
        <w:spacing w:after="40"/>
      </w:pPr>
      <w:r>
        <w:t>All software updates, security patches, and regulatory compliance updates (EU grid codes, NIS2, GDPR)</w:t>
      </w:r>
    </w:p>
    <w:p>
      <w:pPr>
        <w:pStyle w:val="ListBullet"/>
        <w:spacing w:after="40"/>
      </w:pPr>
      <w:r>
        <w:t>DSO/SCADA integration maintenance - IEC 60870-5-104 interface with Cyprus EAC</w:t>
      </w:r>
    </w:p>
    <w:p>
      <w:pPr>
        <w:pStyle w:val="ListBullet"/>
        <w:spacing w:after="40"/>
      </w:pPr>
      <w:r>
        <w:t>BMS data integration - Modbus TCP / RS485 northbound interface monitoring</w:t>
      </w:r>
    </w:p>
    <w:p>
      <w:pPr>
        <w:pStyle w:val="ListBullet"/>
        <w:spacing w:after="40"/>
      </w:pPr>
      <w:r>
        <w:t>10 read-only SCADA dashboard accounts per client group</w:t>
      </w:r>
    </w:p>
    <w:p>
      <w:pPr>
        <w:pStyle w:val="ListBullet"/>
        <w:spacing w:after="40"/>
      </w:pPr>
      <w:r>
        <w:t>Remote EMS configuration support (1 hour/month per park; additional at EUR 80/hr)</w:t>
      </w:r>
    </w:p>
    <w:p>
      <w:pPr>
        <w:pStyle w:val="ListBullet"/>
        <w:spacing w:after="40"/>
      </w:pPr>
      <w:r>
        <w:t>External data feeds: market price signals, grid frequency data, weather forecasts</w:t>
      </w:r>
    </w:p>
    <w:p>
      <w:pPr>
        <w:pStyle w:val="ListBullet"/>
        <w:spacing w:after="40"/>
      </w:pPr>
      <w:r>
        <w:t>Battery degradation analytics and SOH trend reporting</w:t>
      </w:r>
    </w:p>
    <w:p>
      <w:pPr>
        <w:pStyle w:val="ListBullet"/>
        <w:spacing w:after="40"/>
      </w:pPr>
      <w:r>
        <w:t>Quarterly EMS performance report per park</w:t>
      </w:r>
    </w:p>
    <w:p>
      <w:pPr>
        <w:pStyle w:val="ListBullet"/>
        <w:spacing w:after="40"/>
      </w:pPr>
      <w:r>
        <w:t>Regulatory update notifications (grid code changes within 14 days of publication)</w:t>
      </w:r>
    </w:p>
    <w:p>
      <w:pPr>
        <w:pStyle w:val="Heading2"/>
        <w:spacing w:before="120"/>
      </w:pPr>
      <w:r>
        <w:t>2. NOT COVERED BY THIS ADDENDUM</w:t>
      </w:r>
    </w:p>
    <w:p>
      <w:pPr>
        <w:pStyle w:val="ListBullet"/>
        <w:spacing w:after="40"/>
      </w:pPr>
      <w:r>
        <w:t>On-site physical installation, configuration, or commissioning (covered under EPC)</w:t>
      </w:r>
    </w:p>
    <w:p>
      <w:pPr>
        <w:pStyle w:val="ListBullet"/>
        <w:spacing w:after="40"/>
      </w:pPr>
      <w:r>
        <w:t>Physical maintenance of BESS, PCS, or MV switchgear (covered under LTSA)</w:t>
      </w:r>
    </w:p>
    <w:p>
      <w:pPr>
        <w:pStyle w:val="ListBullet"/>
        <w:spacing w:after="40"/>
      </w:pPr>
      <w:r>
        <w:t>Custom software development beyond standard EMS configuration</w:t>
      </w:r>
    </w:p>
    <w:p>
      <w:pPr>
        <w:pStyle w:val="ListBullet"/>
        <w:spacing w:after="40"/>
      </w:pPr>
      <w:r>
        <w:t>Advanced trading algorithms, revenue optimisation, or market participation logic (available separately)</w:t>
      </w:r>
    </w:p>
    <w:p>
      <w:pPr>
        <w:pStyle w:val="ListBullet"/>
        <w:spacing w:after="40"/>
      </w:pPr>
      <w:r>
        <w:t>SCADA hardware replacement (covered under EPC warranty)</w:t>
      </w:r>
    </w:p>
    <w:p>
      <w:pPr>
        <w:pStyle w:val="Heading2"/>
        <w:spacing w:before="120"/>
      </w:pPr>
      <w:r>
        <w:t>3. SUBSCRIPTION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Park / Site</w:t>
            </w:r>
          </w:p>
        </w:tc>
        <w:tc>
          <w:tcPr>
            <w:tcW w:type="dxa" w:w="2880"/>
          </w:tcPr>
          <w:p>
            <w:r>
              <w:rPr>
                <w:b/>
                <w:sz w:val="18"/>
              </w:rPr>
              <w:t>Capacity (MWh)</w:t>
            </w:r>
          </w:p>
        </w:tc>
        <w:tc>
          <w:tcPr>
            <w:tcW w:type="dxa" w:w="2880"/>
          </w:tcPr>
          <w:p>
            <w:r>
              <w:rPr>
                <w:b/>
                <w:sz w:val="18"/>
              </w:rPr>
              <w:t>Annual Subscription (EUR 400/MWh)</w:t>
            </w:r>
          </w:p>
        </w:tc>
      </w:tr>
      <w:tr>
        <w:tc>
          <w:tcPr>
            <w:tcW w:type="dxa" w:w="2880"/>
          </w:tcPr>
          <w:p>
            <w:r>
              <w:t>Galascope 1</w:t>
            </w:r>
          </w:p>
        </w:tc>
        <w:tc>
          <w:tcPr>
            <w:tcW w:type="dxa" w:w="2880"/>
          </w:tcPr>
          <w:p>
            <w:r>
              <w:t>20 MWh</w:t>
            </w:r>
          </w:p>
        </w:tc>
        <w:tc>
          <w:tcPr>
            <w:tcW w:type="dxa" w:w="2880"/>
          </w:tcPr>
          <w:p>
            <w:r>
              <w:t>EUR 8,000.00</w:t>
            </w:r>
          </w:p>
        </w:tc>
      </w:tr>
      <w:tr>
        <w:tc>
          <w:tcPr>
            <w:tcW w:type="dxa" w:w="2880"/>
          </w:tcPr>
          <w:p>
            <w:r>
              <w:t>Galascope 2</w:t>
            </w:r>
          </w:p>
        </w:tc>
        <w:tc>
          <w:tcPr>
            <w:tcW w:type="dxa" w:w="2880"/>
          </w:tcPr>
          <w:p>
            <w:r>
              <w:t>10 MWh</w:t>
            </w:r>
          </w:p>
        </w:tc>
        <w:tc>
          <w:tcPr>
            <w:tcW w:type="dxa" w:w="2880"/>
          </w:tcPr>
          <w:p>
            <w:r>
              <w:t>EUR 4,000.00</w:t>
            </w:r>
          </w:p>
        </w:tc>
      </w:tr>
      <w:tr>
        <w:tc>
          <w:tcPr>
            <w:tcW w:type="dxa" w:w="2880"/>
          </w:tcPr>
          <w:p>
            <w:r>
              <w:rPr>
                <w:b/>
              </w:rPr>
              <w:t>TOTAL</w:t>
            </w:r>
          </w:p>
        </w:tc>
        <w:tc>
          <w:tcPr>
            <w:tcW w:type="dxa" w:w="2880"/>
          </w:tcPr>
          <w:p>
            <w:r>
              <w:rPr>
                <w:b/>
              </w:rPr>
              <w:t>30 MWh</w:t>
            </w:r>
          </w:p>
        </w:tc>
        <w:tc>
          <w:tcPr>
            <w:tcW w:type="dxa" w:w="2880"/>
          </w:tcPr>
          <w:p>
            <w:r>
              <w:rPr>
                <w:b/>
              </w:rPr>
              <w:t>EUR 12,000.00 per year</w:t>
            </w:r>
          </w:p>
        </w:tc>
      </w:tr>
    </w:tbl>
    <w:p/>
    <w:p>
      <w:pPr>
        <w:spacing w:after="80"/>
      </w:pPr>
      <w:r>
        <w:t>The subscription fee of EUR 12,000.00 per year (ex VAT) is invoiced annually in advance from the PAC date (set per the EPC Delivery Schedule confirmed at Connection Terms). Payment due within 30 days of invoice. Fee is exclusive of VAT (19%). For the avoidance of doubt, while the LTSA (LCY-LTSA-GAL-2026) is in force this EMS/SCADA subscription is included within the all-in LTSA Service Fee of EUR 1,740/MWh/Year and is not invoiced separately in addition to it. The standalone pricing in this Addendum applies only if the Client exits or terminates the LTSA and the EMS subscription continues on a standalone basis; for as long as the LTSA remains in force the EMS subscription is included in the LTSA Service Fee and is not charged separately.</w:t>
      </w:r>
    </w:p>
    <w:p>
      <w:pPr>
        <w:pStyle w:val="Heading2"/>
        <w:spacing w:before="120"/>
      </w:pPr>
      <w:r>
        <w:t>4. TERM AND RENEWAL</w:t>
      </w:r>
    </w:p>
    <w:p>
      <w:pPr>
        <w:spacing w:after="80"/>
      </w:pPr>
      <w:r>
        <w:t>Initial term: 15 years from PAC, aligned with LTSA LCY-LTSA-GAL-2026. Auto-renews for successive 5-year periods unless either Party gives 12 months written notice.</w:t>
      </w:r>
    </w:p>
    <w:p>
      <w:pPr>
        <w:pStyle w:val="Heading2"/>
        <w:spacing w:before="120"/>
      </w:pPr>
      <w:r>
        <w:t>5. LINYANG WARRANTY AND BMS ACCESS</w:t>
      </w:r>
    </w:p>
    <w:p>
      <w:pPr>
        <w:spacing w:after="80"/>
      </w:pPr>
      <w:r>
        <w:t>The Linyang OEM product warranty and Direct Warranty Undertaking survive termination of the Lighthief–Linyang Distribution Agreement, so OEM product cover does not depend on that arrangement. The BMS northbound communication interface (Modbus TCP / RS485) is a standard OEM interface, and its compatibility with the DISPERON EMS is confirmed in the Technical Agreement. Continuity of DISPERON EMS data access is provided under this Subscription Agreement and is not contingent on the Distribution Agreement.</w:t>
      </w:r>
    </w:p>
    <w:p>
      <w:pPr>
        <w:pStyle w:val="Heading2"/>
        <w:spacing w:before="120"/>
      </w:pPr>
      <w:r>
        <w:t>6. GOVERNING LAW</w:t>
      </w:r>
    </w:p>
    <w:p>
      <w:pPr>
        <w:spacing w:after="80"/>
      </w:pPr>
      <w:r>
        <w:t>Laws of the Republic of Cyprus. Disputes resolved in Cyprus courts.</w:t>
      </w:r>
    </w:p>
    <w:p/>
    <w:p>
      <w:pPr>
        <w:pStyle w:val="Heading2"/>
        <w:spacing w:before="120"/>
      </w:pPr>
      <w:r>
        <w:t>SIGNATURES</w:t>
      </w:r>
    </w:p>
    <w:tbl>
      <w:tblPr>
        <w:tblStyle w:val="TableGrid"/>
        <w:tblW w:type="auto" w:w="0"/>
        <w:tblLook w:firstColumn="1" w:firstRow="1" w:lastColumn="0" w:lastRow="0" w:noHBand="0" w:noVBand="1" w:val="04A0"/>
      </w:tblPr>
      <w:tblGrid>
        <w:gridCol w:w="4320"/>
        <w:gridCol w:w="4320"/>
      </w:tblGrid>
      <w:tr>
        <w:tc>
          <w:tcPr>
            <w:tcW w:type="dxa" w:w="4320"/>
          </w:tcPr>
          <w:p>
            <w:r>
              <w:t>For Disperon Sp. z o.o. (DISPERON)</w:t>
            </w:r>
          </w:p>
        </w:tc>
        <w:tc>
          <w:tcPr>
            <w:tcW w:type="dxa" w:w="4320"/>
          </w:tcPr>
          <w:p>
            <w:r>
              <w:t>For Galascope Ltd</w:t>
            </w:r>
          </w:p>
        </w:tc>
      </w:tr>
      <w:tr>
        <w:tc>
          <w:tcPr>
            <w:tcW w:type="dxa" w:w="4320"/>
          </w:tcPr>
          <w:p>
            <w:r>
              <w:t>Name: Alexander Papacosta</w:t>
            </w:r>
          </w:p>
        </w:tc>
        <w:tc>
          <w:tcPr>
            <w:tcW w:type="dxa" w:w="4320"/>
          </w:tcPr>
          <w:p>
            <w:r>
              <w:t>Name: ___________________________</w:t>
            </w:r>
          </w:p>
        </w:tc>
      </w:tr>
      <w:tr>
        <w:tc>
          <w:tcPr>
            <w:tcW w:type="dxa" w:w="4320"/>
          </w:tcPr>
          <w:p>
            <w:r>
              <w:t>Title: Director</w:t>
            </w:r>
          </w:p>
        </w:tc>
        <w:tc>
          <w:tcPr>
            <w:tcW w:type="dxa" w:w="4320"/>
          </w:tcPr>
          <w:p>
            <w:r>
              <w:t>Title: ___________________________</w:t>
            </w:r>
          </w:p>
        </w:tc>
      </w:tr>
      <w:tr>
        <w:tc>
          <w:tcPr>
            <w:tcW w:type="dxa" w:w="4320"/>
          </w:tcPr>
          <w:p>
            <w:r>
              <w:t>Signature: ___________________________</w:t>
            </w:r>
          </w:p>
        </w:tc>
        <w:tc>
          <w:tcPr>
            <w:tcW w:type="dxa" w:w="4320"/>
          </w:tcPr>
          <w:p>
            <w:r>
              <w:t>Signature: ___________________________</w:t>
            </w:r>
          </w:p>
        </w:tc>
      </w:tr>
      <w:tr>
        <w:tc>
          <w:tcPr>
            <w:tcW w:type="dxa" w:w="4320"/>
          </w:tcPr>
          <w:p>
            <w:r>
              <w:t>Date: ___________________________</w:t>
            </w:r>
          </w:p>
        </w:tc>
        <w:tc>
          <w:tcPr>
            <w:tcW w:type="dxa" w:w="4320"/>
          </w:tcPr>
          <w:p>
            <w:r>
              <w:t>Date: 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