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C9A432"/>
          <w:sz w:val="28"/>
        </w:rPr>
        <w:t>SCHEDULE D — LIGHTHIEF INTERNATIONAL PERFORMANCE UNDERTAKING LETTER</w:t>
      </w:r>
    </w:p>
    <w:p>
      <w:pPr>
        <w:spacing w:after="280"/>
        <w:jc w:val="center"/>
      </w:pPr>
      <w:r>
        <w:rPr>
          <w:rFonts w:ascii="Calibri" w:hAnsi="Calibri"/>
          <w:b w:val="0"/>
          <w:i/>
          <w:color w:val="404040"/>
          <w:sz w:val="19"/>
        </w:rPr>
        <w:t>Standalone version of the Schedule D annex in EPC Agreement v6.5 (Ref. LCY-EPC-GAL-B1-2026, §16.3B). Extracted 13 Aug 2026 for separate execution by Lighthief International Ltd, delivered to the Client before the advance payment under EPC §7.1(a) becomes due.</w:t>
      </w:r>
    </w:p>
    <w:p>
      <w:pPr>
        <w:spacing w:after="40"/>
      </w:pPr>
      <w:r>
        <w:rPr>
          <w:rFonts w:ascii="Calibri" w:hAnsi="Calibri"/>
          <w:b/>
          <w:i w:val="0"/>
          <w:color w:val="1A365D"/>
          <w:sz w:val="26"/>
        </w:rPr>
        <w:t>LIGHTHIEF INTERNATIONAL LTD</w:t>
      </w:r>
    </w:p>
    <w:p>
      <w:pPr>
        <w:spacing w:after="40"/>
      </w:pPr>
      <w:r>
        <w:rPr>
          <w:rFonts w:ascii="Calibri" w:hAnsi="Calibri"/>
          <w:b/>
          <w:i w:val="0"/>
          <w:color w:val="1A365D"/>
          <w:sz w:val="22"/>
        </w:rPr>
        <w:t>Registration No. HE 464727 (Cyprus)</w:t>
      </w:r>
    </w:p>
    <w:p>
      <w:pPr>
        <w:spacing w:after="120"/>
        <w:pBdr>
          <w:bottom w:val="single" w:sz="16" w:space="6" w:color="1A365D"/>
        </w:pBdr>
      </w:pPr>
      <w:r>
        <w:rPr>
          <w:rFonts w:ascii="Calibri" w:hAnsi="Calibri"/>
          <w:b/>
          <w:i w:val="0"/>
          <w:color w:val="1A365D"/>
          <w:sz w:val="22"/>
        </w:rPr>
        <w:t>Registered office: Agiou Andreou 241, AG TRIAS COURT, Flat/Office 31, 3036 Limassol, Cyprus [address pending confirmation via Lighthief International Ltd's own ROC extract — currently shown as Lighthief Cyprus Ltd's registered office as a placeholder]</w:t>
      </w:r>
    </w:p>
    <w:p>
      <w:pPr>
        <w:spacing w:before="160" w:after="280"/>
      </w:pPr>
      <w:r>
        <w:rPr>
          <w:rFonts w:ascii="Calibri" w:hAnsi="Calibri"/>
          <w:b w:val="0"/>
          <w:i/>
          <w:color w:val="404040"/>
          <w:sz w:val="20"/>
        </w:rPr>
        <w:t>Status: Ready for execution — pending final Effective Date and Client address (to be inserted at signing), and pending confirmation of Lighthief International Ltd's registered office via ROC extract (currently shown as a placeholder using Lighthief Cyprus Ltd's registered office).</w:t>
      </w:r>
    </w:p>
    <w:p>
      <w:pPr>
        <w:spacing w:after="80"/>
      </w:pPr>
      <w:r>
        <w:rPr>
          <w:rFonts w:ascii="Calibri" w:hAnsi="Calibri"/>
          <w:b w:val="0"/>
          <w:i w:val="0"/>
          <w:color w:val="000000"/>
          <w:sz w:val="22"/>
        </w:rPr>
        <w:t>Date: [●] 2026</w:t>
      </w:r>
    </w:p>
    <w:p>
      <w:pPr>
        <w:spacing w:after="80"/>
      </w:pPr>
      <w:r>
        <w:rPr>
          <w:rFonts w:ascii="Calibri" w:hAnsi="Calibri"/>
          <w:b w:val="0"/>
          <w:i w:val="0"/>
          <w:color w:val="000000"/>
          <w:sz w:val="22"/>
        </w:rPr>
        <w:t>To: Galascope Ltd</w:t>
      </w:r>
    </w:p>
    <w:p>
      <w:pPr>
        <w:spacing w:after="200"/>
      </w:pPr>
      <w:r>
        <w:rPr>
          <w:rFonts w:ascii="Calibri" w:hAnsi="Calibri"/>
          <w:b w:val="0"/>
          <w:i w:val="0"/>
          <w:color w:val="000000"/>
          <w:sz w:val="22"/>
        </w:rPr>
        <w:t>[Client address]</w:t>
      </w:r>
    </w:p>
    <w:p>
      <w:pPr>
        <w:spacing w:after="200"/>
      </w:pPr>
      <w:r>
        <w:rPr>
          <w:rFonts w:ascii="Calibri" w:hAnsi="Calibri"/>
          <w:b/>
          <w:i w:val="0"/>
          <w:color w:val="000000"/>
          <w:sz w:val="22"/>
        </w:rPr>
        <w:t>Re: Parent Company Performance Undertaking — EPC Agreement Ref. LCY-EPC-GAL-B1-2026</w:t>
      </w:r>
    </w:p>
    <w:p>
      <w:pPr>
        <w:spacing w:after="200"/>
      </w:pPr>
      <w:r>
        <w:rPr>
          <w:rFonts w:ascii="Calibri" w:hAnsi="Calibri"/>
          <w:b w:val="0"/>
          <w:i w:val="0"/>
          <w:color w:val="000000"/>
          <w:sz w:val="22"/>
        </w:rPr>
        <w:t>Dear Sirs,</w:t>
      </w:r>
    </w:p>
    <w:p>
      <w:pPr>
        <w:spacing w:after="240"/>
        <w:jc w:val="both"/>
      </w:pPr>
      <w:r>
        <w:rPr>
          <w:rFonts w:ascii="Calibri" w:hAnsi="Calibri"/>
          <w:b w:val="0"/>
          <w:i w:val="0"/>
          <w:color w:val="000000"/>
          <w:sz w:val="22"/>
        </w:rPr>
        <w:t>We refer to the Engineering, Procurement &amp; Construction Agreement dated [●] 2026 between Lighthief Cyprus Ltd (“Contractor”) and Galascope Ltd (“Client”), Reference LCY-EPC-GAL-B1-2026 (the “EPC Agreement”).</w:t>
      </w:r>
    </w:p>
    <w:p>
      <w:pPr>
        <w:spacing w:after="120"/>
        <w:jc w:val="both"/>
      </w:pPr>
      <w:r>
        <w:rPr>
          <w:rFonts w:ascii="Calibri" w:hAnsi="Calibri"/>
          <w:b/>
          <w:i w:val="0"/>
          <w:color w:val="000000"/>
          <w:sz w:val="22"/>
        </w:rPr>
        <w:t xml:space="preserve">1.  </w:t>
      </w:r>
      <w:r>
        <w:rPr>
          <w:rFonts w:ascii="Calibri" w:hAnsi="Calibri"/>
          <w:b w:val="0"/>
          <w:i w:val="0"/>
          <w:color w:val="000000"/>
          <w:sz w:val="22"/>
        </w:rPr>
        <w:t>Lighthief International Ltd (“Guarantor”) confirms and guarantees to the Client the due performance by the Contractor of the following core obligations under the EPC Agreement (the “Guaranteed Obligations”):</w:t>
      </w:r>
    </w:p>
    <w:p>
      <w:pPr>
        <w:spacing w:after="120"/>
        <w:ind w:left="340"/>
        <w:jc w:val="both"/>
      </w:pPr>
      <w:r>
        <w:rPr>
          <w:rFonts w:ascii="Calibri" w:hAnsi="Calibri"/>
          <w:b w:val="0"/>
          <w:i w:val="0"/>
          <w:color w:val="000000"/>
          <w:sz w:val="22"/>
        </w:rPr>
        <w:t>(a)  delivery of the BESS equipment to Site as EPC Contractor;</w:t>
      </w:r>
    </w:p>
    <w:p>
      <w:pPr>
        <w:spacing w:after="120"/>
        <w:ind w:left="340"/>
        <w:jc w:val="both"/>
      </w:pPr>
      <w:r>
        <w:rPr>
          <w:rFonts w:ascii="Calibri" w:hAnsi="Calibri"/>
          <w:b w:val="0"/>
          <w:i w:val="0"/>
          <w:color w:val="000000"/>
          <w:sz w:val="22"/>
        </w:rPr>
        <w:t>(b)  installation, commissioning and handover of the BESS to the technical specification set out in Schedule A;</w:t>
      </w:r>
    </w:p>
    <w:p>
      <w:pPr>
        <w:spacing w:after="240"/>
        <w:ind w:left="340"/>
        <w:jc w:val="both"/>
      </w:pPr>
      <w:r>
        <w:rPr>
          <w:rFonts w:ascii="Calibri" w:hAnsi="Calibri"/>
          <w:b w:val="0"/>
          <w:i w:val="0"/>
          <w:color w:val="000000"/>
          <w:sz w:val="22"/>
        </w:rPr>
        <w:t>(c)  the Contractor's warranty obligations under Section 10.1 of the EPC Agreement for the Warranty Period.</w:t>
      </w:r>
    </w:p>
    <w:p>
      <w:pPr>
        <w:spacing w:after="200"/>
        <w:jc w:val="both"/>
      </w:pPr>
      <w:r>
        <w:rPr>
          <w:rFonts w:ascii="Calibri" w:hAnsi="Calibri"/>
          <w:b/>
          <w:i w:val="0"/>
          <w:color w:val="000000"/>
          <w:sz w:val="22"/>
        </w:rPr>
        <w:t xml:space="preserve">2.  Exclusions. </w:t>
      </w:r>
      <w:r>
        <w:rPr>
          <w:rFonts w:ascii="Calibri" w:hAnsi="Calibri"/>
          <w:b w:val="0"/>
          <w:i w:val="0"/>
          <w:color w:val="000000"/>
          <w:sz w:val="22"/>
        </w:rPr>
        <w:t>This undertaking does not extend to: (i) financial liabilities beyond the Contract Price; (ii) the Long-Term Service Agreement or EMS services, which are contracted separately; or (iii) OEM obligations guaranteed under the OEM Direct Warranty Undertaking or OEM Performance Guarantee.</w:t>
      </w:r>
    </w:p>
    <w:p>
      <w:pPr>
        <w:spacing w:after="200"/>
        <w:jc w:val="both"/>
      </w:pPr>
      <w:r>
        <w:rPr>
          <w:rFonts w:ascii="Calibri" w:hAnsi="Calibri"/>
          <w:b/>
          <w:i w:val="0"/>
          <w:color w:val="000000"/>
          <w:sz w:val="22"/>
        </w:rPr>
        <w:t xml:space="preserve">3.  Limitation of liability. </w:t>
      </w:r>
      <w:r>
        <w:rPr>
          <w:rFonts w:ascii="Calibri" w:hAnsi="Calibri"/>
          <w:b w:val="0"/>
          <w:i w:val="0"/>
          <w:color w:val="000000"/>
          <w:sz w:val="22"/>
        </w:rPr>
        <w:t>The Guarantor's liability under this undertaking shall in no circumstances exceed, and shall be subject to, the same limitations of liability, caps, exclusions, carve-outs and defences available to the Contractor under Sections 13.1, 13.2, 13.3 and 13.3A of the EPC Agreement, as if the Guarantor were itself the Contractor.</w:t>
      </w:r>
    </w:p>
    <w:p>
      <w:pPr>
        <w:spacing w:after="200"/>
        <w:jc w:val="both"/>
      </w:pPr>
      <w:r>
        <w:rPr>
          <w:rFonts w:ascii="Calibri" w:hAnsi="Calibri"/>
          <w:b/>
          <w:i w:val="0"/>
          <w:color w:val="000000"/>
          <w:sz w:val="22"/>
        </w:rPr>
        <w:t xml:space="preserve">4.  Trigger of Guarantor's liability. </w:t>
      </w:r>
      <w:r>
        <w:rPr>
          <w:rFonts w:ascii="Calibri" w:hAnsi="Calibri"/>
          <w:b w:val="0"/>
          <w:i w:val="0"/>
          <w:color w:val="000000"/>
          <w:sz w:val="22"/>
        </w:rPr>
        <w:t>The Guarantor's obligations under this undertaking arise solely in the event that the Contractor becomes insolvent, is placed into liquidation, administration, receivership or any analogous insolvency proceeding under the laws of the Republic of Cyprus, or otherwise formally ceases to trade or admits in writing its inability to perform the Guaranteed Obligations. For the avoidance of doubt, this undertaking shall not be triggered by mere non-performance, delay, or dispute concerning the Contractor's obligations under the EPC Agreement while the Contractor remains solvent and operating.</w:t>
      </w:r>
    </w:p>
    <w:p>
      <w:pPr>
        <w:spacing w:after="200"/>
        <w:jc w:val="both"/>
      </w:pPr>
      <w:r>
        <w:rPr>
          <w:rFonts w:ascii="Calibri" w:hAnsi="Calibri"/>
          <w:b/>
          <w:i w:val="0"/>
          <w:color w:val="000000"/>
          <w:sz w:val="22"/>
        </w:rPr>
        <w:t xml:space="preserve">5.  Governing law and jurisdiction. </w:t>
      </w:r>
      <w:r>
        <w:rPr>
          <w:rFonts w:ascii="Calibri" w:hAnsi="Calibri"/>
          <w:b w:val="0"/>
          <w:i w:val="0"/>
          <w:color w:val="000000"/>
          <w:sz w:val="22"/>
        </w:rPr>
        <w:t>This undertaking is governed by the laws of the Republic of Cyprus, and the courts of Cyprus shall have exclusive jurisdiction.</w:t>
      </w:r>
    </w:p>
    <w:p>
      <w:pPr>
        <w:spacing w:after="200"/>
        <w:jc w:val="both"/>
      </w:pPr>
      <w:r>
        <w:rPr>
          <w:rFonts w:ascii="Calibri" w:hAnsi="Calibri"/>
          <w:b/>
          <w:i w:val="0"/>
          <w:color w:val="000000"/>
          <w:sz w:val="22"/>
        </w:rPr>
        <w:t xml:space="preserve">6.  Duration. </w:t>
      </w:r>
      <w:r>
        <w:rPr>
          <w:rFonts w:ascii="Calibri" w:hAnsi="Calibri"/>
          <w:b w:val="0"/>
          <w:i w:val="0"/>
          <w:color w:val="000000"/>
          <w:sz w:val="22"/>
        </w:rPr>
        <w:t>This undertaking takes effect on the date of this letter and shall automatically terminate, without further notice or action, upon expiry of the Warranty Period defined in the EPC Agreement.</w:t>
      </w:r>
    </w:p>
    <w:p>
      <w:pPr>
        <w:spacing w:after="400"/>
        <w:jc w:val="both"/>
      </w:pPr>
      <w:r>
        <w:rPr>
          <w:rFonts w:ascii="Calibri" w:hAnsi="Calibri"/>
          <w:b/>
          <w:i w:val="0"/>
          <w:color w:val="000000"/>
          <w:sz w:val="22"/>
        </w:rPr>
        <w:t xml:space="preserve">7.  No assignment. </w:t>
      </w:r>
      <w:r>
        <w:rPr>
          <w:rFonts w:ascii="Calibri" w:hAnsi="Calibri"/>
          <w:b w:val="0"/>
          <w:i w:val="0"/>
          <w:color w:val="000000"/>
          <w:sz w:val="22"/>
        </w:rPr>
        <w:t>The benefit of this undertaking may not be assigned by the Client without the Guarantor's prior written consent, save for assignment to the Client's project-finance lender or security agent in accordance with Section 16.3A of the EPC Agreement.</w:t>
      </w:r>
    </w:p>
    <w:p>
      <w:pPr>
        <w:spacing w:after="480"/>
      </w:pPr>
      <w:r>
        <w:rPr>
          <w:rFonts w:ascii="Calibri" w:hAnsi="Calibri"/>
          <w:b w:val="0"/>
          <w:i w:val="0"/>
          <w:color w:val="000000"/>
          <w:sz w:val="22"/>
        </w:rPr>
        <w:t>Yours faithfully,</w:t>
      </w:r>
    </w:p>
    <w:p>
      <w:pPr>
        <w:spacing w:after="40"/>
      </w:pPr>
      <w:r>
        <w:rPr>
          <w:rFonts w:ascii="Calibri" w:hAnsi="Calibri"/>
          <w:b w:val="0"/>
          <w:i w:val="0"/>
          <w:color w:val="000000"/>
          <w:sz w:val="22"/>
        </w:rPr>
        <w:t>Dr. Arkadius Sybaris</w:t>
      </w:r>
    </w:p>
    <w:p>
      <w:pPr>
        <w:spacing w:after="40"/>
      </w:pPr>
      <w:r>
        <w:rPr>
          <w:rFonts w:ascii="Calibri" w:hAnsi="Calibri"/>
          <w:b w:val="0"/>
          <w:i w:val="0"/>
          <w:color w:val="000000"/>
          <w:sz w:val="22"/>
        </w:rPr>
        <w:t>Director / Authorised Signatory</w:t>
      </w:r>
    </w:p>
    <w:p>
      <w:pPr>
        <w:spacing w:after="480"/>
      </w:pPr>
      <w:r>
        <w:rPr>
          <w:rFonts w:ascii="Calibri" w:hAnsi="Calibri"/>
          <w:b w:val="0"/>
          <w:i w:val="0"/>
          <w:color w:val="000000"/>
          <w:sz w:val="22"/>
        </w:rPr>
        <w:t>Lighthief International Ltd</w:t>
      </w:r>
    </w:p>
    <w:p>
      <w:pPr>
        <w:spacing w:before="200"/>
        <w:jc w:val="center"/>
        <w:pBdr>
          <w:top w:val="single" w:sz="6" w:space="6" w:color="404040"/>
        </w:pBdr>
      </w:pPr>
      <w:r>
        <w:rPr>
          <w:rFonts w:ascii="Calibri" w:hAnsi="Calibri"/>
          <w:b w:val="0"/>
          <w:i w:val="0"/>
          <w:color w:val="404040"/>
          <w:sz w:val="17"/>
        </w:rPr>
        <w:t>Lighthief International Ltd | Registration No. HE 464727 (Cyprus) | office@lighthief.com | +357 77 77 00 50 | solarfarms.cy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