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(v6.5, August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color w:val="70209C"/>
          <w:sz w:val="22"/>
        </w:rPr>
        <w:t>Signing this EPC Agreement places the order with the manufacturer immediately (the “Order Date”) — but signing itself does not trigger any Client payment. This replaces the earlier draft's staged approach: every companion document below (LTSA, OEM Direct Warranty Undertaking, both Advance Payment Guarantees, the OEM 5% Performance Guarantee, the EMS Subscription Addendum and the Technical Agreements for Galascope 1 and Galascope 2) is intended to be finalised and executed together with this EPC, and in any event no later than thirty (30) days after signing (the “Documents Long-Stop Date”) — not deferred until Connection Terms as in earlier drafts of this package.</w:t>
      </w:r>
    </w:p>
    <w:p>
      <w:pPr>
        <w:pStyle w:val="ListBullet"/>
      </w:pPr>
      <w:r>
        <w:rPr>
          <w:rFonts w:ascii="Calibri" w:hAnsi="Calibri"/>
          <w:color w:val="70209C"/>
          <w:sz w:val="22"/>
        </w:rPr>
        <w:t>The two Advance Payment Guarantees (items 05a/05b) and the OEM 5% Performance Guarantee (item 06) are the expected exception to same-date signing: as bank- and OEM-issued instruments, they are necessarily issued shortly after the EPC Agreement itself is executed, once the underlying contract exists for the bank/OEM to reference.</w:t>
      </w:r>
    </w:p>
    <w:p>
      <w:pPr>
        <w:pStyle w:val="ListBullet"/>
      </w:pPr>
      <w:r>
        <w:rPr>
          <w:rFonts w:ascii="Calibri" w:hAnsi="Calibri"/>
          <w:color w:val="70209C"/>
          <w:sz w:val="22"/>
        </w:rPr>
        <w:t>The advance payment itself still only becomes due later — thirty (30) days after the later of signing and receipt of Connection Terms from EAC/DSO, and only once the Client has accepted the companion-document bundle. So while the order is placed on signing, you are not asked to pay anything until Connection Terms are in hand and every companion document is in a form you have accepted.</w:t>
      </w:r>
    </w:p>
    <w:p>
      <w:pPr>
        <w:pStyle w:val="ListBullet"/>
      </w:pPr>
      <w:r>
        <w:rPr>
          <w:rFonts w:ascii="Calibri" w:hAnsi="Calibri"/>
          <w:color w:val="70209C"/>
          <w:sz w:val="22"/>
        </w:rPr>
        <w:t>If any companion document is not agreed and executed by the Documents Long-Stop Date, either party may issue a written Deficiency Notice and, if the document is still not in place after a 30-Business-Day cure period, terminate this Agreement in respect of that specific document — without needing to unwind the whole package over one lagging signature.</w:t>
      </w:r>
    </w:p>
    <w:p>
      <w:pPr>
        <w:pStyle w:val="ListBullet"/>
      </w:pPr>
      <w:r>
        <w:rPr>
          <w:rFonts w:ascii="Calibri" w:hAnsi="Calibri"/>
          <w:color w:val="70209C"/>
          <w:sz w:val="22"/>
        </w:rPr>
        <w:t>No advance is payable until the signed Direct Warranty Undertaking, the bank APG (with Galascope as beneficiary), the 5% performance guarantee and the Confirmed Price Certificate are presented and accepted. If any is not provided in the agreed form by the Documents Long-Stop Date, either party may terminate in respect of that document under the process above.</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v6.5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color w:val="70209C"/>
              </w:rPr>
              <w:t>LTSA (Long-Term Service Agreement) v6.5</w:t>
            </w:r>
          </w:p>
        </w:tc>
        <w:tc>
          <w:tcPr>
            <w:tcW w:type="dxa" w:w="2880"/>
          </w:tcPr>
          <w:p>
            <w:r>
              <w:rPr>
                <w:color w:val="70209C"/>
              </w:rPr>
              <w:t>For signature alongside the EPC</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color w:val="70209C"/>
              </w:rPr>
              <w:t>For signature alongside the EPC (by the OEM)</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color w:val="70209C"/>
              </w:rPr>
              <w:t>Form for signature alongside the EPC (bank-issued)</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color w:val="70209C"/>
              </w:rPr>
              <w:t>Form for signature alongside the EPC (bank-issued)</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color w:val="70209C"/>
              </w:rPr>
              <w:t>Form for signature alongside the EPC (by the OEM)</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color w:val="70209C"/>
              </w:rPr>
              <w:t>For signature alongside the EPC — pending DISPERON company-registration details (see note)</w:t>
            </w:r>
          </w:p>
        </w:tc>
      </w:tr>
      <w:tr>
        <w:tc>
          <w:tcPr>
            <w:tcW w:type="dxa" w:w="2880"/>
          </w:tcPr>
          <w:p>
            <w:r>
              <w:rPr>
                <w:rFonts w:ascii="Calibri" w:hAnsi="Calibri"/>
                <w:b w:val="0"/>
                <w:i w:val="0"/>
                <w:sz w:val="21"/>
              </w:rPr>
              <w:t>08</w:t>
            </w:r>
          </w:p>
        </w:tc>
        <w:tc>
          <w:tcPr>
            <w:tcW w:type="dxa" w:w="2880"/>
          </w:tcPr>
          <w:p>
            <w:r>
              <w:rPr>
                <w:color w:val="70209C"/>
              </w:rPr>
              <w:t>Redline Response Matrix v6.5 (Parts A–C: client comments vs. our response; Part D: Stelios SCC-call + Sybaris push-back)</w:t>
            </w:r>
          </w:p>
        </w:tc>
        <w:tc>
          <w:tcPr>
            <w:tcW w:type="dxa" w:w="2880"/>
          </w:tcPr>
          <w:p>
            <w:r>
              <w:rPr>
                <w:color w:val="70209C"/>
              </w:rPr>
              <w:t>For review</w:t>
            </w:r>
          </w:p>
        </w:tc>
      </w:tr>
      <w:tr>
        <w:tc>
          <w:tcPr>
            <w:tcW w:type="dxa" w:w="2880"/>
          </w:tcPr>
          <w:p>
            <w:r>
              <w:rPr>
                <w:rFonts w:ascii="Calibri" w:hAnsi="Calibri"/>
                <w:b w:val="0"/>
                <w:i w:val="0"/>
                <w:sz w:val="21"/>
              </w:rPr>
              <w:t xml:space="preserve">09</w:t>
            </w:r>
          </w:p>
        </w:tc>
        <w:tc>
          <w:tcPr>
            <w:tcW w:type="dxa" w:w="2880"/>
          </w:tcPr>
          <w:p>
            <w:r>
              <w:rPr>
                <w:rFonts w:ascii="Calibri" w:hAnsi="Calibri"/>
                <w:b w:val="0"/>
                <w:i w:val="0"/>
                <w:sz w:val="21"/>
              </w:rPr>
              <w:t xml:space="preserve">O&amp;M Plan — Galascope 1 &amp; 2 (Rev.3)</w:t>
            </w:r>
          </w:p>
        </w:tc>
        <w:tc>
          <w:tcPr>
            <w:tcW w:type="dxa" w:w="2880"/>
          </w:tcPr>
          <w:p>
            <w:r>
              <w:rPr>
                <w:rFonts w:ascii="Calibri" w:hAnsi="Calibri"/>
                <w:b w:val="0"/>
                <w:i w:val="0"/>
                <w:sz w:val="21"/>
              </w:rPr>
              <w:t xml:space="preserve">For information — working document, becomes controlled on signature</w:t>
            </w:r>
          </w:p>
        </w:tc>
      </w:tr>
      <w:tr>
        <w:tc>
          <w:tcPr>
            <w:tcW w:type="dxa" w:w="2880"/>
          </w:tcPr>
          <w:p>
            <w:r>
              <w:rPr>
                <w:rFonts w:ascii="Calibri" w:hAnsi="Calibri"/>
                <w:b w:val="0"/>
                <w:i w:val="0"/>
                <w:sz w:val="21"/>
              </w:rPr>
              <w:t xml:space="preserve">10</w:t>
            </w:r>
          </w:p>
        </w:tc>
        <w:tc>
          <w:tcPr>
            <w:tcW w:type="dxa" w:w="2880"/>
          </w:tcPr>
          <w:p>
            <w:r>
              <w:rPr>
                <w:rFonts w:ascii="Calibri" w:hAnsi="Calibri"/>
                <w:b w:val="0"/>
                <w:i w:val="0"/>
                <w:sz w:val="21"/>
              </w:rPr>
              <w:t xml:space="preserve">Schedule D — Lighthief International Performance Undertaking Letter (standalone)</w:t>
            </w:r>
          </w:p>
        </w:tc>
        <w:tc>
          <w:tcPr>
            <w:tcW w:type="dxa" w:w="2880"/>
          </w:tcPr>
          <w:p>
            <w:r>
              <w:rPr>
                <w:rFonts w:ascii="Calibri" w:hAnsi="Calibri"/>
                <w:b w:val="0"/>
                <w:i w:val="0"/>
                <w:sz w:val="21"/>
              </w:rPr>
              <w:t>For execution by Lighthief International Ltd — pending final Order Date, Client address, and ROC-confirmed registered office</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OEM/Kehua/Mingyang datasheets, SOH degradation curve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