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6B3C"/>
          <w:sz w:val="30"/>
        </w:rPr>
        <w:t>GRID-CONNECTED PHOTOVOLTAIC SYSTEM</w:t>
        <w:br/>
        <w:t>INSTALLATION CONTRACT — NET BILLING SCHEME</w:t>
      </w:r>
    </w:p>
    <w:p>
      <w:pPr>
        <w:jc w:val="center"/>
      </w:pPr>
      <w:r>
        <w:rPr>
          <w:rFonts w:ascii="Calibri" w:hAnsi="Calibri"/>
          <w:color w:val="404040"/>
          <w:sz w:val="20"/>
        </w:rPr>
        <w:t>Lighthief Cyprus Ltd  ·  Supply, Installation, DSO Application &amp; Commissioning</w:t>
      </w:r>
    </w:p>
    <w:p/>
    <w:p>
      <w:pPr>
        <w:pStyle w:val="Heading1"/>
        <w:jc w:val="left"/>
      </w:pPr>
      <w:r>
        <w:rPr>
          <w:b/>
          <w:color w:val="1A6B3C"/>
          <w:sz w:val="26"/>
        </w:rPr>
        <w:t>1. PARTIES</w:t>
      </w:r>
    </w:p>
    <w:p>
      <w:pPr>
        <w:pStyle w:val="Heading2"/>
      </w:pPr>
      <w:r>
        <w:rPr>
          <w:color w:val="1A6B3C"/>
          <w:sz w:val="22"/>
        </w:rPr>
        <w:t>Contractor</w:t>
      </w:r>
    </w:p>
    <w:tbl>
      <w:tblPr>
        <w:tblStyle w:val="TableGrid"/>
        <w:tblW w:type="auto" w:w="0"/>
        <w:tblLook w:firstColumn="1" w:firstRow="1" w:lastColumn="0" w:lastRow="0" w:noHBand="0" w:noVBand="1" w:val="04A0"/>
      </w:tblPr>
      <w:tblGrid>
        <w:gridCol w:w="4419"/>
        <w:gridCol w:w="4419"/>
      </w:tblGrid>
      <w:tr>
        <w:tc>
          <w:tcPr>
            <w:tcW w:type="dxa" w:w="4419"/>
          </w:tcPr>
          <w:p>
            <w:r>
              <w:rPr>
                <w:b/>
                <w:sz w:val="18"/>
              </w:rPr>
              <w:t>Company</w:t>
            </w:r>
          </w:p>
        </w:tc>
        <w:tc>
          <w:tcPr>
            <w:tcW w:type="dxa" w:w="4419"/>
          </w:tcPr>
          <w:p>
            <w:r>
              <w:rPr>
                <w:sz w:val="18"/>
              </w:rPr>
              <w:t>LIGHTHIEF CYPRUS LTD</w:t>
            </w:r>
          </w:p>
        </w:tc>
      </w:tr>
      <w:tr>
        <w:tc>
          <w:tcPr>
            <w:tcW w:type="dxa" w:w="4419"/>
          </w:tcPr>
          <w:p>
            <w:r>
              <w:rPr>
                <w:b/>
                <w:sz w:val="18"/>
              </w:rPr>
              <w:t>Reg. No.</w:t>
            </w:r>
          </w:p>
        </w:tc>
        <w:tc>
          <w:tcPr>
            <w:tcW w:type="dxa" w:w="4419"/>
          </w:tcPr>
          <w:p>
            <w:r>
              <w:rPr>
                <w:sz w:val="18"/>
              </w:rPr>
              <w:t>HE 477423</w:t>
            </w:r>
          </w:p>
        </w:tc>
      </w:tr>
      <w:tr>
        <w:tc>
          <w:tcPr>
            <w:tcW w:type="dxa" w:w="4419"/>
          </w:tcPr>
          <w:p>
            <w:r>
              <w:rPr>
                <w:b/>
                <w:sz w:val="18"/>
              </w:rPr>
              <w:t>TIN</w:t>
            </w:r>
          </w:p>
        </w:tc>
        <w:tc>
          <w:tcPr>
            <w:tcW w:type="dxa" w:w="4419"/>
          </w:tcPr>
          <w:p>
            <w:r>
              <w:rPr>
                <w:sz w:val="18"/>
              </w:rPr>
              <w:t>60187188Q</w:t>
            </w:r>
          </w:p>
        </w:tc>
      </w:tr>
      <w:tr>
        <w:tc>
          <w:tcPr>
            <w:tcW w:type="dxa" w:w="4419"/>
          </w:tcPr>
          <w:p>
            <w:r>
              <w:rPr>
                <w:b/>
                <w:sz w:val="18"/>
              </w:rPr>
              <w:t>Address</w:t>
            </w:r>
          </w:p>
        </w:tc>
        <w:tc>
          <w:tcPr>
            <w:tcW w:type="dxa" w:w="4419"/>
          </w:tcPr>
          <w:p>
            <w:r>
              <w:rPr>
                <w:sz w:val="18"/>
              </w:rPr>
              <w:t>28 October Ave 249, Lophitis Business Center 1, Office 201, 3035 Limassol, Cyprus</w:t>
            </w:r>
          </w:p>
        </w:tc>
      </w:tr>
      <w:tr>
        <w:tc>
          <w:tcPr>
            <w:tcW w:type="dxa" w:w="4419"/>
          </w:tcPr>
          <w:p>
            <w:r>
              <w:rPr>
                <w:b/>
                <w:sz w:val="18"/>
              </w:rPr>
              <w:t>Email</w:t>
            </w:r>
          </w:p>
        </w:tc>
        <w:tc>
          <w:tcPr>
            <w:tcW w:type="dxa" w:w="4419"/>
          </w:tcPr>
          <w:p>
            <w:r>
              <w:rPr>
                <w:sz w:val="18"/>
              </w:rPr>
              <w:t>office@lighthief.com</w:t>
            </w:r>
          </w:p>
        </w:tc>
      </w:tr>
      <w:tr>
        <w:tc>
          <w:tcPr>
            <w:tcW w:type="dxa" w:w="4419"/>
          </w:tcPr>
          <w:p>
            <w:r>
              <w:rPr>
                <w:b/>
                <w:sz w:val="18"/>
              </w:rPr>
              <w:t>Tel</w:t>
            </w:r>
          </w:p>
        </w:tc>
        <w:tc>
          <w:tcPr>
            <w:tcW w:type="dxa" w:w="4419"/>
          </w:tcPr>
          <w:p>
            <w:r>
              <w:rPr>
                <w:sz w:val="18"/>
              </w:rPr>
              <w:t>+357 77 77 00 50</w:t>
            </w:r>
          </w:p>
        </w:tc>
      </w:tr>
      <w:tr>
        <w:tc>
          <w:tcPr>
            <w:tcW w:type="dxa" w:w="4419"/>
          </w:tcPr>
          <w:p>
            <w:r>
              <w:rPr>
                <w:b/>
                <w:sz w:val="18"/>
              </w:rPr>
              <w:t>Representative</w:t>
            </w:r>
          </w:p>
        </w:tc>
        <w:tc>
          <w:tcPr>
            <w:tcW w:type="dxa" w:w="4419"/>
          </w:tcPr>
          <w:p>
            <w:r>
              <w:rPr>
                <w:sz w:val="18"/>
              </w:rPr>
              <w:t>Alexander Papacosta</w:t>
            </w:r>
          </w:p>
        </w:tc>
      </w:tr>
    </w:tbl>
    <w:p/>
    <w:p>
      <w:pPr>
        <w:pStyle w:val="Heading2"/>
      </w:pPr>
      <w:r>
        <w:rPr>
          <w:color w:val="1A6B3C"/>
          <w:sz w:val="22"/>
        </w:rPr>
        <w:t>Client</w:t>
      </w:r>
    </w:p>
    <w:tbl>
      <w:tblPr>
        <w:tblStyle w:val="TableGrid"/>
        <w:tblW w:type="auto" w:w="0"/>
        <w:tblLook w:firstColumn="1" w:firstRow="1" w:lastColumn="0" w:lastRow="0" w:noHBand="0" w:noVBand="1" w:val="04A0"/>
      </w:tblPr>
      <w:tblGrid>
        <w:gridCol w:w="4419"/>
        <w:gridCol w:w="4419"/>
      </w:tblGrid>
      <w:tr>
        <w:tc>
          <w:tcPr>
            <w:tcW w:type="dxa" w:w="4419"/>
          </w:tcPr>
          <w:p>
            <w:r>
              <w:rPr>
                <w:b/>
                <w:sz w:val="18"/>
              </w:rPr>
              <w:t>Full Name / Company</w:t>
            </w:r>
          </w:p>
        </w:tc>
        <w:tc>
          <w:tcPr>
            <w:tcW w:type="dxa" w:w="4419"/>
          </w:tcPr>
          <w:p>
            <w:r>
              <w:rPr>
                <w:sz w:val="18"/>
              </w:rPr>
              <w:t>______________________________________</w:t>
            </w:r>
          </w:p>
        </w:tc>
      </w:tr>
      <w:tr>
        <w:tc>
          <w:tcPr>
            <w:tcW w:type="dxa" w:w="4419"/>
          </w:tcPr>
          <w:p>
            <w:r>
              <w:rPr>
                <w:b/>
                <w:sz w:val="18"/>
              </w:rPr>
              <w:t>ID / Reg. No.</w:t>
            </w:r>
          </w:p>
        </w:tc>
        <w:tc>
          <w:tcPr>
            <w:tcW w:type="dxa" w:w="4419"/>
          </w:tcPr>
          <w:p>
            <w:r>
              <w:rPr>
                <w:sz w:val="18"/>
              </w:rPr>
              <w:t>______________________________________</w:t>
            </w:r>
          </w:p>
        </w:tc>
      </w:tr>
      <w:tr>
        <w:tc>
          <w:tcPr>
            <w:tcW w:type="dxa" w:w="4419"/>
          </w:tcPr>
          <w:p>
            <w:r>
              <w:rPr>
                <w:b/>
                <w:sz w:val="18"/>
              </w:rPr>
              <w:t>Address</w:t>
            </w:r>
          </w:p>
        </w:tc>
        <w:tc>
          <w:tcPr>
            <w:tcW w:type="dxa" w:w="4419"/>
          </w:tcPr>
          <w:p>
            <w:r>
              <w:rPr>
                <w:sz w:val="18"/>
              </w:rPr>
              <w:t>______________________________________</w:t>
            </w:r>
          </w:p>
        </w:tc>
      </w:tr>
      <w:tr>
        <w:tc>
          <w:tcPr>
            <w:tcW w:type="dxa" w:w="4419"/>
          </w:tcPr>
          <w:p>
            <w:r>
              <w:rPr>
                <w:b/>
                <w:sz w:val="18"/>
              </w:rPr>
              <w:t>Email</w:t>
            </w:r>
          </w:p>
        </w:tc>
        <w:tc>
          <w:tcPr>
            <w:tcW w:type="dxa" w:w="4419"/>
          </w:tcPr>
          <w:p>
            <w:r>
              <w:rPr>
                <w:sz w:val="18"/>
              </w:rPr>
              <w:t>______________________________________</w:t>
            </w:r>
          </w:p>
        </w:tc>
      </w:tr>
      <w:tr>
        <w:tc>
          <w:tcPr>
            <w:tcW w:type="dxa" w:w="4419"/>
          </w:tcPr>
          <w:p>
            <w:r>
              <w:rPr>
                <w:b/>
                <w:sz w:val="18"/>
              </w:rPr>
              <w:t>Tel</w:t>
            </w:r>
          </w:p>
        </w:tc>
        <w:tc>
          <w:tcPr>
            <w:tcW w:type="dxa" w:w="4419"/>
          </w:tcPr>
          <w:p>
            <w:r>
              <w:rPr>
                <w:sz w:val="18"/>
              </w:rPr>
              <w:t>______________________________________</w:t>
            </w:r>
          </w:p>
        </w:tc>
      </w:tr>
      <w:tr>
        <w:tc>
          <w:tcPr>
            <w:tcW w:type="dxa" w:w="4419"/>
          </w:tcPr>
          <w:p>
            <w:r>
              <w:rPr>
                <w:b/>
                <w:sz w:val="18"/>
              </w:rPr>
              <w:t>Representative</w:t>
            </w:r>
          </w:p>
        </w:tc>
        <w:tc>
          <w:tcPr>
            <w:tcW w:type="dxa" w:w="4419"/>
          </w:tcPr>
          <w:p>
            <w:r>
              <w:rPr>
                <w:sz w:val="18"/>
              </w:rPr>
              <w:t>______________________________________</w:t>
            </w:r>
          </w:p>
        </w:tc>
      </w:tr>
    </w:tbl>
    <w:p/>
    <w:p>
      <w:pPr>
        <w:pStyle w:val="Heading1"/>
        <w:jc w:val="left"/>
      </w:pPr>
      <w:r>
        <w:rPr>
          <w:b/>
          <w:color w:val="1A6B3C"/>
          <w:sz w:val="26"/>
        </w:rPr>
        <w:t>2. SCOPE OF WORK</w:t>
      </w:r>
    </w:p>
    <w:p>
      <w:r>
        <w:rPr>
          <w:rFonts w:ascii="Calibri" w:hAnsi="Calibri"/>
          <w:b w:val="0"/>
          <w:i w:val="0"/>
          <w:sz w:val="20"/>
        </w:rPr>
        <w:t>The Contractor shall supply, deliver, install, and commission a grid-connected photovoltaic system (the "System") and submit the required Net Billing application to the Distribution System Operator (DSO / EAC) on the Client's behalf. The scope includes all labour, materials, cabling, protection devices, programming, single-line diagram, and EAC application pack.</w:t>
      </w:r>
    </w:p>
    <w:p/>
    <w:tbl>
      <w:tblPr>
        <w:tblStyle w:val="TableGrid"/>
        <w:tblW w:type="auto" w:w="0"/>
        <w:tblLook w:firstColumn="1" w:firstRow="1" w:lastColumn="0" w:lastRow="0" w:noHBand="0" w:noVBand="1" w:val="04A0"/>
      </w:tblPr>
      <w:tblGrid>
        <w:gridCol w:w="4419"/>
        <w:gridCol w:w="4419"/>
      </w:tblGrid>
      <w:tr>
        <w:tc>
          <w:tcPr>
            <w:tcW w:type="dxa" w:w="4419"/>
            <w:shd w:val="clear" w:color="auto" w:fill="1A6B3C"/>
          </w:tcPr>
          <w:p>
            <w:r>
              <w:rPr>
                <w:b/>
                <w:color w:val="FFFFFF"/>
                <w:sz w:val="18"/>
              </w:rPr>
              <w:t>Parameter</w:t>
            </w:r>
          </w:p>
        </w:tc>
        <w:tc>
          <w:tcPr>
            <w:tcW w:type="dxa" w:w="4419"/>
            <w:shd w:val="clear" w:color="auto" w:fill="1A6B3C"/>
          </w:tcPr>
          <w:p>
            <w:r>
              <w:rPr>
                <w:b/>
                <w:color w:val="FFFFFF"/>
                <w:sz w:val="18"/>
              </w:rPr>
              <w:t>Specification</w:t>
            </w:r>
          </w:p>
        </w:tc>
      </w:tr>
      <w:tr>
        <w:tc>
          <w:tcPr>
            <w:tcW w:type="dxa" w:w="4419"/>
          </w:tcPr>
          <w:p>
            <w:r>
              <w:rPr>
                <w:b/>
                <w:sz w:val="18"/>
              </w:rPr>
              <w:t>Installation Address</w:t>
            </w:r>
          </w:p>
        </w:tc>
        <w:tc>
          <w:tcPr>
            <w:tcW w:type="dxa" w:w="4419"/>
          </w:tcPr>
          <w:p>
            <w:r>
              <w:rPr>
                <w:sz w:val="18"/>
              </w:rPr>
              <w:t>______________________________________</w:t>
            </w:r>
          </w:p>
        </w:tc>
      </w:tr>
      <w:tr>
        <w:tc>
          <w:tcPr>
            <w:tcW w:type="dxa" w:w="4419"/>
          </w:tcPr>
          <w:p>
            <w:r>
              <w:rPr>
                <w:b/>
                <w:sz w:val="18"/>
              </w:rPr>
              <w:t>PV Capacity (kWp)</w:t>
            </w:r>
          </w:p>
        </w:tc>
        <w:tc>
          <w:tcPr>
            <w:tcW w:type="dxa" w:w="4419"/>
          </w:tcPr>
          <w:p>
            <w:r>
              <w:rPr>
                <w:sz w:val="18"/>
              </w:rPr>
              <w:t>______________________________________</w:t>
            </w:r>
          </w:p>
        </w:tc>
      </w:tr>
      <w:tr>
        <w:tc>
          <w:tcPr>
            <w:tcW w:type="dxa" w:w="4419"/>
          </w:tcPr>
          <w:p>
            <w:r>
              <w:rPr>
                <w:b/>
                <w:sz w:val="18"/>
              </w:rPr>
              <w:t>Inverter Model / Qty</w:t>
            </w:r>
          </w:p>
        </w:tc>
        <w:tc>
          <w:tcPr>
            <w:tcW w:type="dxa" w:w="4419"/>
          </w:tcPr>
          <w:p>
            <w:r>
              <w:rPr>
                <w:sz w:val="18"/>
              </w:rPr>
              <w:t>______________________________________</w:t>
            </w:r>
          </w:p>
        </w:tc>
      </w:tr>
      <w:tr>
        <w:tc>
          <w:tcPr>
            <w:tcW w:type="dxa" w:w="4419"/>
          </w:tcPr>
          <w:p>
            <w:r>
              <w:rPr>
                <w:b/>
                <w:sz w:val="18"/>
              </w:rPr>
              <w:t>Battery Storage (if any)</w:t>
            </w:r>
          </w:p>
        </w:tc>
        <w:tc>
          <w:tcPr>
            <w:tcW w:type="dxa" w:w="4419"/>
          </w:tcPr>
          <w:p>
            <w:r>
              <w:rPr>
                <w:sz w:val="18"/>
              </w:rPr>
              <w:t>□ Included — _______ kWh  □ Not included</w:t>
            </w:r>
          </w:p>
        </w:tc>
      </w:tr>
      <w:tr>
        <w:tc>
          <w:tcPr>
            <w:tcW w:type="dxa" w:w="4419"/>
          </w:tcPr>
          <w:p>
            <w:r>
              <w:rPr>
                <w:b/>
                <w:sz w:val="18"/>
              </w:rPr>
              <w:t>Monitoring</w:t>
            </w:r>
          </w:p>
        </w:tc>
        <w:tc>
          <w:tcPr>
            <w:tcW w:type="dxa" w:w="4419"/>
          </w:tcPr>
          <w:p>
            <w:r>
              <w:rPr>
                <w:sz w:val="18"/>
              </w:rPr>
              <w:t>□ Included  □ Not included</w:t>
            </w:r>
          </w:p>
        </w:tc>
      </w:tr>
      <w:tr>
        <w:tc>
          <w:tcPr>
            <w:tcW w:type="dxa" w:w="4419"/>
          </w:tcPr>
          <w:p>
            <w:r>
              <w:rPr>
                <w:b/>
                <w:sz w:val="18"/>
              </w:rPr>
              <w:t>Net Billing Application</w:t>
            </w:r>
          </w:p>
        </w:tc>
        <w:tc>
          <w:tcPr>
            <w:tcW w:type="dxa" w:w="4419"/>
          </w:tcPr>
          <w:p>
            <w:r>
              <w:rPr>
                <w:sz w:val="18"/>
              </w:rPr>
              <w:t>□ Included  □ Not included — see §4</w:t>
            </w:r>
          </w:p>
        </w:tc>
      </w:tr>
      <w:tr>
        <w:tc>
          <w:tcPr>
            <w:tcW w:type="dxa" w:w="4419"/>
          </w:tcPr>
          <w:p>
            <w:r>
              <w:rPr>
                <w:b/>
                <w:sz w:val="18"/>
              </w:rPr>
              <w:t>RCR (Ripple Control Rcvr.)</w:t>
            </w:r>
          </w:p>
        </w:tc>
        <w:tc>
          <w:tcPr>
            <w:tcW w:type="dxa" w:w="4419"/>
          </w:tcPr>
          <w:p>
            <w:r>
              <w:rPr>
                <w:sz w:val="18"/>
              </w:rPr>
              <w:t>□ Supplied  □ Client-owned  □ N/A</w:t>
            </w:r>
          </w:p>
        </w:tc>
      </w:tr>
    </w:tbl>
    <w:p/>
    <w:p>
      <w:pPr>
        <w:pStyle w:val="Heading1"/>
        <w:jc w:val="left"/>
      </w:pPr>
      <w:r>
        <w:rPr>
          <w:b/>
          <w:color w:val="1A6B3C"/>
          <w:sz w:val="26"/>
        </w:rPr>
        <w:t>3. CONTRACT PRICE</w:t>
      </w:r>
    </w:p>
    <w:tbl>
      <w:tblPr>
        <w:tblStyle w:val="TableGrid"/>
        <w:tblW w:type="auto" w:w="0"/>
        <w:tblLook w:firstColumn="1" w:firstRow="1" w:lastColumn="0" w:lastRow="0" w:noHBand="0" w:noVBand="1" w:val="04A0"/>
      </w:tblPr>
      <w:tblGrid>
        <w:gridCol w:w="4419"/>
        <w:gridCol w:w="4419"/>
      </w:tblGrid>
      <w:tr>
        <w:tc>
          <w:tcPr>
            <w:tcW w:type="dxa" w:w="4419"/>
          </w:tcPr>
          <w:p>
            <w:r>
              <w:rPr>
                <w:b/>
                <w:sz w:val="18"/>
              </w:rPr>
              <w:t>Total Contract Price (VAT incl. 19%)</w:t>
            </w:r>
          </w:p>
        </w:tc>
        <w:tc>
          <w:tcPr>
            <w:tcW w:type="dxa" w:w="4419"/>
          </w:tcPr>
          <w:p>
            <w:r>
              <w:rPr>
                <w:sz w:val="18"/>
              </w:rPr>
              <w:t>€ ________________</w:t>
            </w:r>
          </w:p>
        </w:tc>
      </w:tr>
      <w:tr>
        <w:tc>
          <w:tcPr>
            <w:tcW w:type="dxa" w:w="4419"/>
          </w:tcPr>
          <w:p>
            <w:r>
              <w:rPr>
                <w:b/>
                <w:sz w:val="18"/>
              </w:rPr>
              <w:t>Net Amount (excl. VAT)</w:t>
            </w:r>
          </w:p>
        </w:tc>
        <w:tc>
          <w:tcPr>
            <w:tcW w:type="dxa" w:w="4419"/>
          </w:tcPr>
          <w:p>
            <w:r>
              <w:rPr>
                <w:sz w:val="18"/>
              </w:rPr>
              <w:t>€ ________________</w:t>
            </w:r>
          </w:p>
        </w:tc>
      </w:tr>
      <w:tr>
        <w:tc>
          <w:tcPr>
            <w:tcW w:type="dxa" w:w="4419"/>
          </w:tcPr>
          <w:p>
            <w:r>
              <w:rPr>
                <w:b/>
                <w:sz w:val="18"/>
              </w:rPr>
              <w:t>VAT (19%)</w:t>
            </w:r>
          </w:p>
        </w:tc>
        <w:tc>
          <w:tcPr>
            <w:tcW w:type="dxa" w:w="4419"/>
          </w:tcPr>
          <w:p>
            <w:r>
              <w:rPr>
                <w:sz w:val="18"/>
              </w:rPr>
              <w:t>€ ________________</w:t>
            </w:r>
          </w:p>
        </w:tc>
      </w:tr>
      <w:tr>
        <w:tc>
          <w:tcPr>
            <w:tcW w:type="dxa" w:w="4419"/>
          </w:tcPr>
          <w:p>
            <w:r>
              <w:rPr>
                <w:b/>
                <w:sz w:val="18"/>
              </w:rPr>
              <w:t>EAC Application Fee (excl. VAT)</w:t>
            </w:r>
          </w:p>
        </w:tc>
        <w:tc>
          <w:tcPr>
            <w:tcW w:type="dxa" w:w="4419"/>
          </w:tcPr>
          <w:p>
            <w:r>
              <w:rPr>
                <w:sz w:val="18"/>
              </w:rPr>
              <w:t>€ ________________  (pass-through — paid to EAC)</w:t>
            </w:r>
          </w:p>
        </w:tc>
      </w:tr>
    </w:tbl>
    <w:p/>
    <w:p>
      <w:pPr>
        <w:pStyle w:val="Heading1"/>
        <w:jc w:val="left"/>
      </w:pPr>
      <w:r>
        <w:rPr>
          <w:b/>
          <w:color w:val="1A6B3C"/>
          <w:sz w:val="26"/>
        </w:rPr>
        <w:t>4. PAYMENT TERMS</w:t>
      </w:r>
    </w:p>
    <w:p>
      <w:r>
        <w:rPr>
          <w:rFonts w:ascii="Calibri" w:hAnsi="Calibri"/>
          <w:b w:val="0"/>
          <w:i w:val="0"/>
          <w:sz w:val="20"/>
        </w:rPr>
        <w:t>Payments shall be made by bank transfer. Works commence only after the deposit is received. EAC application fees are invoiced separately as incurred and are non-refundable once submitted.</w:t>
      </w:r>
    </w:p>
    <w:p/>
    <w:tbl>
      <w:tblPr>
        <w:tblStyle w:val="TableGrid"/>
        <w:tblW w:type="auto" w:w="0"/>
        <w:tblLook w:firstColumn="1" w:firstRow="1" w:lastColumn="0" w:lastRow="0" w:noHBand="0" w:noVBand="1" w:val="04A0"/>
      </w:tblPr>
      <w:tblGrid>
        <w:gridCol w:w="4419"/>
        <w:gridCol w:w="4419"/>
      </w:tblGrid>
      <w:tr>
        <w:tc>
          <w:tcPr>
            <w:tcW w:type="dxa" w:w="4419"/>
            <w:shd w:val="clear" w:color="auto" w:fill="1A6B3C"/>
          </w:tcPr>
          <w:p>
            <w:r>
              <w:rPr>
                <w:b/>
                <w:color w:val="FFFFFF"/>
                <w:sz w:val="18"/>
              </w:rPr>
              <w:t>Instalment</w:t>
            </w:r>
          </w:p>
        </w:tc>
        <w:tc>
          <w:tcPr>
            <w:tcW w:type="dxa" w:w="4419"/>
            <w:shd w:val="clear" w:color="auto" w:fill="1A6B3C"/>
          </w:tcPr>
          <w:p>
            <w:r>
              <w:rPr>
                <w:b/>
                <w:color w:val="FFFFFF"/>
                <w:sz w:val="18"/>
              </w:rPr>
              <w:t>Trigger</w:t>
            </w:r>
          </w:p>
        </w:tc>
      </w:tr>
      <w:tr>
        <w:tc>
          <w:tcPr>
            <w:tcW w:type="dxa" w:w="4419"/>
          </w:tcPr>
          <w:p>
            <w:r>
              <w:rPr>
                <w:b/>
                <w:sz w:val="18"/>
              </w:rPr>
              <w:t>#1 — Deposit (50%)</w:t>
            </w:r>
          </w:p>
        </w:tc>
        <w:tc>
          <w:tcPr>
            <w:tcW w:type="dxa" w:w="4419"/>
          </w:tcPr>
          <w:p>
            <w:r>
              <w:rPr>
                <w:sz w:val="18"/>
              </w:rPr>
              <w:t>Due upon contract signing</w:t>
            </w:r>
          </w:p>
        </w:tc>
      </w:tr>
      <w:tr>
        <w:tc>
          <w:tcPr>
            <w:tcW w:type="dxa" w:w="4419"/>
          </w:tcPr>
          <w:p>
            <w:r>
              <w:rPr>
                <w:b/>
                <w:sz w:val="18"/>
              </w:rPr>
              <w:t>#2 — Pre-delivery (30%)</w:t>
            </w:r>
          </w:p>
        </w:tc>
        <w:tc>
          <w:tcPr>
            <w:tcW w:type="dxa" w:w="4419"/>
          </w:tcPr>
          <w:p>
            <w:r>
              <w:rPr>
                <w:sz w:val="18"/>
              </w:rPr>
              <w:t>Due 3 days before equipment delivery</w:t>
            </w:r>
          </w:p>
        </w:tc>
      </w:tr>
      <w:tr>
        <w:tc>
          <w:tcPr>
            <w:tcW w:type="dxa" w:w="4419"/>
          </w:tcPr>
          <w:p>
            <w:r>
              <w:rPr>
                <w:b/>
                <w:sz w:val="18"/>
              </w:rPr>
              <w:t>#3 — Final (20%)</w:t>
            </w:r>
          </w:p>
        </w:tc>
        <w:tc>
          <w:tcPr>
            <w:tcW w:type="dxa" w:w="4419"/>
          </w:tcPr>
          <w:p>
            <w:r>
              <w:rPr>
                <w:sz w:val="18"/>
              </w:rPr>
              <w:t>Due on commissioning date (or DSO energization, if later)</w:t>
            </w:r>
          </w:p>
        </w:tc>
      </w:tr>
    </w:tbl>
    <w:p/>
    <w:p>
      <w:r>
        <w:rPr>
          <w:rFonts w:ascii="Calibri" w:hAnsi="Calibri"/>
          <w:b w:val="0"/>
          <w:i/>
          <w:color w:val="404040"/>
          <w:sz w:val="20"/>
        </w:rPr>
        <w:t>All amounts are VAT-inclusive. Late payments accrue interest at 2% per month on the outstanding balance.</w:t>
      </w:r>
    </w:p>
    <w:p/>
    <w:p>
      <w:pPr>
        <w:pStyle w:val="Heading1"/>
        <w:jc w:val="left"/>
      </w:pPr>
      <w:r>
        <w:rPr>
          <w:b/>
          <w:color w:val="1A6B3C"/>
          <w:sz w:val="26"/>
        </w:rPr>
        <w:t>5. TIMELINE</w:t>
      </w:r>
    </w:p>
    <w:tbl>
      <w:tblPr>
        <w:tblStyle w:val="TableGrid"/>
        <w:tblW w:type="auto" w:w="0"/>
        <w:tblLook w:firstColumn="1" w:firstRow="1" w:lastColumn="0" w:lastRow="0" w:noHBand="0" w:noVBand="1" w:val="04A0"/>
      </w:tblPr>
      <w:tblGrid>
        <w:gridCol w:w="4419"/>
        <w:gridCol w:w="4419"/>
      </w:tblGrid>
      <w:tr>
        <w:tc>
          <w:tcPr>
            <w:tcW w:type="dxa" w:w="4419"/>
          </w:tcPr>
          <w:p>
            <w:r>
              <w:rPr>
                <w:b/>
                <w:sz w:val="18"/>
              </w:rPr>
              <w:t>Contract Signing / PID</w:t>
            </w:r>
          </w:p>
        </w:tc>
        <w:tc>
          <w:tcPr>
            <w:tcW w:type="dxa" w:w="4419"/>
          </w:tcPr>
          <w:p>
            <w:r>
              <w:rPr>
                <w:sz w:val="18"/>
              </w:rPr>
              <w:t>_______ / _______ / _______</w:t>
            </w:r>
          </w:p>
        </w:tc>
      </w:tr>
      <w:tr>
        <w:tc>
          <w:tcPr>
            <w:tcW w:type="dxa" w:w="4419"/>
          </w:tcPr>
          <w:p>
            <w:r>
              <w:rPr>
                <w:b/>
                <w:sz w:val="18"/>
              </w:rPr>
              <w:t>Estimated Installation Start</w:t>
            </w:r>
          </w:p>
        </w:tc>
        <w:tc>
          <w:tcPr>
            <w:tcW w:type="dxa" w:w="4419"/>
          </w:tcPr>
          <w:p>
            <w:r>
              <w:rPr>
                <w:sz w:val="18"/>
              </w:rPr>
              <w:t>Within ____ weeks of deposit receipt</w:t>
            </w:r>
          </w:p>
        </w:tc>
      </w:tr>
      <w:tr>
        <w:tc>
          <w:tcPr>
            <w:tcW w:type="dxa" w:w="4419"/>
          </w:tcPr>
          <w:p>
            <w:r>
              <w:rPr>
                <w:b/>
                <w:sz w:val="18"/>
              </w:rPr>
              <w:t>Estimated Mechanical Completion</w:t>
            </w:r>
          </w:p>
        </w:tc>
        <w:tc>
          <w:tcPr>
            <w:tcW w:type="dxa" w:w="4419"/>
          </w:tcPr>
          <w:p>
            <w:r>
              <w:rPr>
                <w:sz w:val="18"/>
              </w:rPr>
              <w:t>Within ____ working days of start</w:t>
            </w:r>
          </w:p>
        </w:tc>
      </w:tr>
      <w:tr>
        <w:tc>
          <w:tcPr>
            <w:tcW w:type="dxa" w:w="4419"/>
          </w:tcPr>
          <w:p>
            <w:r>
              <w:rPr>
                <w:b/>
                <w:sz w:val="18"/>
              </w:rPr>
              <w:t>DSO Application Submission</w:t>
            </w:r>
          </w:p>
        </w:tc>
        <w:tc>
          <w:tcPr>
            <w:tcW w:type="dxa" w:w="4419"/>
          </w:tcPr>
          <w:p>
            <w:r>
              <w:rPr>
                <w:sz w:val="18"/>
              </w:rPr>
              <w:t>Within 5 working days of commissioning</w:t>
            </w:r>
          </w:p>
        </w:tc>
      </w:tr>
      <w:tr>
        <w:tc>
          <w:tcPr>
            <w:tcW w:type="dxa" w:w="4419"/>
          </w:tcPr>
          <w:p>
            <w:r>
              <w:rPr>
                <w:b/>
                <w:sz w:val="18"/>
              </w:rPr>
              <w:t>EAC Approval (estimated)</w:t>
            </w:r>
          </w:p>
        </w:tc>
        <w:tc>
          <w:tcPr>
            <w:tcW w:type="dxa" w:w="4419"/>
          </w:tcPr>
          <w:p>
            <w:r>
              <w:rPr>
                <w:sz w:val="18"/>
              </w:rPr>
              <w:t>2–6 months from application — outside Contractor control</w:t>
            </w:r>
          </w:p>
        </w:tc>
      </w:tr>
    </w:tbl>
    <w:p/>
    <w:p>
      <w:r>
        <w:rPr>
          <w:rFonts w:ascii="Calibri" w:hAnsi="Calibri"/>
          <w:b w:val="0"/>
          <w:i/>
          <w:color w:val="404040"/>
          <w:sz w:val="20"/>
        </w:rPr>
        <w:t>The Contractor is not liable for delays in EAC/DSO approval. The system may operate in zero-export mode pending approval; final Net Billing activation occurs after DSO inspection.</w:t>
      </w:r>
    </w:p>
    <w:p/>
    <w:p>
      <w:pPr>
        <w:pStyle w:val="Heading1"/>
        <w:jc w:val="left"/>
      </w:pPr>
      <w:r>
        <w:rPr>
          <w:b/>
          <w:color w:val="1A6B3C"/>
          <w:sz w:val="26"/>
        </w:rPr>
        <w:t>6. REGULATORY PROCESS</w:t>
      </w:r>
    </w:p>
    <w:p>
      <w:r>
        <w:rPr>
          <w:rFonts w:ascii="Calibri" w:hAnsi="Calibri"/>
          <w:b w:val="0"/>
          <w:i w:val="0"/>
          <w:sz w:val="20"/>
        </w:rPr>
        <w:t>Where the Net Billing Application is included in scope, the Contractor shall prepare and submit to EAC / DSO: the technical application form, single-line diagram, inverter compliance declarations, and protection settings. The Client authorises the Contractor to act on their behalf for this purpose.</w:t>
      </w:r>
    </w:p>
    <w:p/>
    <w:p>
      <w:r>
        <w:rPr>
          <w:rFonts w:ascii="Calibri" w:hAnsi="Calibri"/>
          <w:b w:val="0"/>
          <w:i w:val="0"/>
          <w:sz w:val="20"/>
        </w:rPr>
        <w:t>The Client acknowledges:</w:t>
      </w:r>
    </w:p>
    <w:p>
      <w:pPr>
        <w:pStyle w:val="ListNumber"/>
      </w:pPr>
      <w:r>
        <w:rPr>
          <w:b/>
          <w:sz w:val="20"/>
        </w:rPr>
        <w:t xml:space="preserve">6.1. Grid Connection Prerequisite. </w:t>
      </w:r>
      <w:r>
        <w:rPr>
          <w:sz w:val="20"/>
        </w:rPr>
        <w:t>The system shall not be permanently energized in parallel with the distribution network until DSO written approval is received, except in zero-export commissioning test mode.</w:t>
      </w:r>
    </w:p>
    <w:p>
      <w:pPr>
        <w:pStyle w:val="ListNumber"/>
      </w:pPr>
      <w:r>
        <w:rPr>
          <w:b/>
          <w:sz w:val="20"/>
        </w:rPr>
        <w:t xml:space="preserve">6.2. EAC Fees. </w:t>
      </w:r>
      <w:r>
        <w:rPr>
          <w:sz w:val="20"/>
        </w:rPr>
        <w:t>All EAC inspection and connection fees are the Client's responsibility and are passed through at cost with zero markup unless stated otherwise in the Contract Price above.</w:t>
      </w:r>
    </w:p>
    <w:p>
      <w:pPr>
        <w:pStyle w:val="ListNumber"/>
      </w:pPr>
      <w:r>
        <w:rPr>
          <w:b/>
          <w:sz w:val="20"/>
        </w:rPr>
        <w:t xml:space="preserve">6.3. RCR Requirement. </w:t>
      </w:r>
      <w:r>
        <w:rPr>
          <w:sz w:val="20"/>
        </w:rPr>
        <w:t>A ripple control receiver (RCR) may be required by EAC as a condition of Net Billing approval. If not already supplied, the Contractor will quote separately.</w:t>
      </w:r>
    </w:p>
    <w:p>
      <w:pPr>
        <w:pStyle w:val="ListNumber"/>
      </w:pPr>
      <w:r>
        <w:rPr>
          <w:b/>
          <w:sz w:val="20"/>
        </w:rPr>
        <w:t xml:space="preserve">6.4. Approval Not Guaranteed. </w:t>
      </w:r>
      <w:r>
        <w:rPr>
          <w:sz w:val="20"/>
        </w:rPr>
        <w:t>The Contractor cannot guarantee EAC approval. If the application is rejected due to grid capacity constraints or network limitations beyond the Contractor's control, the installation and application fees remain payable in full.</w:t>
      </w:r>
    </w:p>
    <w:p/>
    <w:p>
      <w:pPr>
        <w:pStyle w:val="Heading1"/>
        <w:jc w:val="left"/>
      </w:pPr>
      <w:r>
        <w:rPr>
          <w:b/>
          <w:color w:val="1A6B3C"/>
          <w:sz w:val="26"/>
        </w:rPr>
        <w:t>7. CLIENT OBLIGATIONS</w:t>
      </w:r>
    </w:p>
    <w:p>
      <w:pPr>
        <w:pStyle w:val="ListNumber"/>
      </w:pPr>
      <w:r>
        <w:rPr>
          <w:b/>
          <w:sz w:val="20"/>
        </w:rPr>
        <w:t xml:space="preserve">7.1. Site Access. </w:t>
      </w:r>
      <w:r>
        <w:rPr>
          <w:sz w:val="20"/>
        </w:rPr>
        <w:t>Provide unobstructed access during working hours for the duration of installation.</w:t>
      </w:r>
    </w:p>
    <w:p>
      <w:pPr>
        <w:pStyle w:val="ListNumber"/>
      </w:pPr>
      <w:r>
        <w:rPr>
          <w:b/>
          <w:sz w:val="20"/>
        </w:rPr>
        <w:t xml:space="preserve">7.2. Existing Infrastructure. </w:t>
      </w:r>
      <w:r>
        <w:rPr>
          <w:sz w:val="20"/>
        </w:rPr>
        <w:t>Disclose all known underground cables, pipes, and structural constraints before works begin. The Contractor is not liable for damage to undisclosed infrastructure.</w:t>
      </w:r>
    </w:p>
    <w:p>
      <w:pPr>
        <w:pStyle w:val="ListNumber"/>
      </w:pPr>
      <w:r>
        <w:rPr>
          <w:b/>
          <w:sz w:val="20"/>
        </w:rPr>
        <w:t xml:space="preserve">7.3. No Modification. </w:t>
      </w:r>
      <w:r>
        <w:rPr>
          <w:sz w:val="20"/>
        </w:rPr>
        <w:t>Not to modify, reprogram, bypass, or tamper with any component of the System — including protection settings, CT clamps, or the RCR — without prior written consent. Unauthorized modifications void all warranties and may violate DSO conditions.</w:t>
      </w:r>
    </w:p>
    <w:p>
      <w:pPr>
        <w:pStyle w:val="ListNumber"/>
      </w:pPr>
      <w:r>
        <w:rPr>
          <w:b/>
          <w:sz w:val="20"/>
        </w:rPr>
        <w:t xml:space="preserve">7.4. EAC Notification. </w:t>
      </w:r>
      <w:r>
        <w:rPr>
          <w:sz w:val="20"/>
        </w:rPr>
        <w:t>Immediately notify the Contractor if contacted by EAC, CERA, the DSO, or any regulatory authority regarding the System.</w:t>
      </w:r>
    </w:p>
    <w:p>
      <w:pPr>
        <w:pStyle w:val="ListNumber"/>
      </w:pPr>
      <w:r>
        <w:rPr>
          <w:b/>
          <w:sz w:val="20"/>
        </w:rPr>
        <w:t xml:space="preserve">7.5. Consumption Data. </w:t>
      </w:r>
      <w:r>
        <w:rPr>
          <w:sz w:val="20"/>
        </w:rPr>
        <w:t>Provide 12 months of historical EAC bills or Smart Meter data if requested, to support accurate sizing and the Net Billing application.</w:t>
      </w:r>
    </w:p>
    <w:p/>
    <w:p>
      <w:pPr>
        <w:pStyle w:val="Heading1"/>
        <w:jc w:val="left"/>
      </w:pPr>
      <w:r>
        <w:rPr>
          <w:b/>
          <w:color w:val="1A6B3C"/>
          <w:sz w:val="26"/>
        </w:rPr>
        <w:t>8. WARRANTIES</w:t>
      </w:r>
    </w:p>
    <w:tbl>
      <w:tblPr>
        <w:tblStyle w:val="TableGrid"/>
        <w:tblW w:type="auto" w:w="0"/>
        <w:tblLook w:firstColumn="1" w:firstRow="1" w:lastColumn="0" w:lastRow="0" w:noHBand="0" w:noVBand="1" w:val="04A0"/>
      </w:tblPr>
      <w:tblGrid>
        <w:gridCol w:w="4419"/>
        <w:gridCol w:w="4419"/>
      </w:tblGrid>
      <w:tr>
        <w:tc>
          <w:tcPr>
            <w:tcW w:type="dxa" w:w="4419"/>
            <w:shd w:val="clear" w:color="auto" w:fill="1A6B3C"/>
          </w:tcPr>
          <w:p>
            <w:r>
              <w:rPr>
                <w:b/>
                <w:color w:val="FFFFFF"/>
                <w:sz w:val="18"/>
              </w:rPr>
              <w:t>Item</w:t>
            </w:r>
          </w:p>
        </w:tc>
        <w:tc>
          <w:tcPr>
            <w:tcW w:type="dxa" w:w="4419"/>
            <w:shd w:val="clear" w:color="auto" w:fill="1A6B3C"/>
          </w:tcPr>
          <w:p>
            <w:r>
              <w:rPr>
                <w:b/>
                <w:color w:val="FFFFFF"/>
                <w:sz w:val="18"/>
              </w:rPr>
              <w:t>Coverage</w:t>
            </w:r>
          </w:p>
        </w:tc>
      </w:tr>
      <w:tr>
        <w:tc>
          <w:tcPr>
            <w:tcW w:type="dxa" w:w="4419"/>
          </w:tcPr>
          <w:p>
            <w:r>
              <w:rPr>
                <w:b/>
                <w:sz w:val="18"/>
              </w:rPr>
              <w:t>Workmanship</w:t>
            </w:r>
          </w:p>
        </w:tc>
        <w:tc>
          <w:tcPr>
            <w:tcW w:type="dxa" w:w="4419"/>
          </w:tcPr>
          <w:p>
            <w:r>
              <w:rPr>
                <w:sz w:val="18"/>
              </w:rPr>
              <w:t>1 year from commissioning date</w:t>
            </w:r>
          </w:p>
        </w:tc>
      </w:tr>
      <w:tr>
        <w:tc>
          <w:tcPr>
            <w:tcW w:type="dxa" w:w="4419"/>
          </w:tcPr>
          <w:p>
            <w:r>
              <w:rPr>
                <w:b/>
                <w:sz w:val="18"/>
              </w:rPr>
              <w:t>Inverter</w:t>
            </w:r>
          </w:p>
        </w:tc>
        <w:tc>
          <w:tcPr>
            <w:tcW w:type="dxa" w:w="4419"/>
          </w:tcPr>
          <w:p>
            <w:r>
              <w:rPr>
                <w:sz w:val="18"/>
              </w:rPr>
              <w:t>As per OEM — typically 5 years (extendable)</w:t>
            </w:r>
          </w:p>
        </w:tc>
      </w:tr>
      <w:tr>
        <w:tc>
          <w:tcPr>
            <w:tcW w:type="dxa" w:w="4419"/>
          </w:tcPr>
          <w:p>
            <w:r>
              <w:rPr>
                <w:b/>
                <w:sz w:val="18"/>
              </w:rPr>
              <w:t>Battery (if any)</w:t>
            </w:r>
          </w:p>
        </w:tc>
        <w:tc>
          <w:tcPr>
            <w:tcW w:type="dxa" w:w="4419"/>
          </w:tcPr>
          <w:p>
            <w:r>
              <w:rPr>
                <w:sz w:val="18"/>
              </w:rPr>
              <w:t>As per OEM — typically 5–10 years</w:t>
            </w:r>
          </w:p>
        </w:tc>
      </w:tr>
      <w:tr>
        <w:tc>
          <w:tcPr>
            <w:tcW w:type="dxa" w:w="4419"/>
          </w:tcPr>
          <w:p>
            <w:r>
              <w:rPr>
                <w:b/>
                <w:sz w:val="18"/>
              </w:rPr>
              <w:t>PV Modules</w:t>
            </w:r>
          </w:p>
        </w:tc>
        <w:tc>
          <w:tcPr>
            <w:tcW w:type="dxa" w:w="4419"/>
          </w:tcPr>
          <w:p>
            <w:r>
              <w:rPr>
                <w:sz w:val="18"/>
              </w:rPr>
              <w:t>Product: 10 years / Performance: 25 years (OEM)</w:t>
            </w:r>
          </w:p>
        </w:tc>
      </w:tr>
    </w:tbl>
    <w:p/>
    <w:p>
      <w:r>
        <w:rPr>
          <w:rFonts w:ascii="Calibri" w:hAnsi="Calibri"/>
          <w:b w:val="0"/>
          <w:i/>
          <w:color w:val="404040"/>
          <w:sz w:val="20"/>
        </w:rPr>
        <w:t>Warranties are void if: (a) the system is modified without consent; (b) damage results from Client negligence, misuse, or acts of God; (c) any payment obligation under this Contract remains outstanding.</w:t>
      </w:r>
    </w:p>
    <w:p/>
    <w:p>
      <w:pPr>
        <w:pStyle w:val="Heading1"/>
        <w:jc w:val="left"/>
      </w:pPr>
      <w:r>
        <w:rPr>
          <w:b/>
          <w:color w:val="1A6B3C"/>
          <w:sz w:val="26"/>
        </w:rPr>
        <w:t>9. LIMITATION OF LIABILITY</w:t>
      </w:r>
    </w:p>
    <w:p>
      <w:r>
        <w:rPr>
          <w:rFonts w:ascii="Calibri" w:hAnsi="Calibri"/>
          <w:b w:val="0"/>
          <w:i w:val="0"/>
          <w:sz w:val="20"/>
        </w:rPr>
        <w:t>The Contractor's total aggregate liability shall not exceed the total Contract Price actually paid. The Contractor is not liable for indirect, consequential, or special loss — including lost Net Billing credits, business interruption, or revenue loss — howsoever arising. The Contractor is not liable for grid supply interruptions, EAC network outages, or changes in Net Billing tariff rates enacted by CERA or EAC after the contract date.</w:t>
      </w:r>
    </w:p>
    <w:p/>
    <w:p>
      <w:pPr>
        <w:pStyle w:val="Heading1"/>
        <w:jc w:val="left"/>
      </w:pPr>
      <w:r>
        <w:rPr>
          <w:b/>
          <w:color w:val="1A6B3C"/>
          <w:sz w:val="26"/>
        </w:rPr>
        <w:t>10. CANCELLATION</w:t>
      </w:r>
    </w:p>
    <w:p>
      <w:r>
        <w:rPr>
          <w:rFonts w:ascii="Calibri" w:hAnsi="Calibri"/>
          <w:b w:val="0"/>
          <w:i w:val="0"/>
          <w:sz w:val="20"/>
        </w:rPr>
        <w:t>If the Client cancels after signing: all payments received are non-refundable. Equipment already ordered or works already completed shall be invoiced and are payable in full. EAC application fees, once submitted, are non-refundable under any circumstances. The Contractor may terminate in writing if the Client is in material breach and fails to remedy within 14 days of written notice.</w:t>
      </w:r>
    </w:p>
    <w:p/>
    <w:p>
      <w:pPr>
        <w:pStyle w:val="Heading1"/>
        <w:jc w:val="left"/>
      </w:pPr>
      <w:r>
        <w:rPr>
          <w:b/>
          <w:color w:val="1A6B3C"/>
          <w:sz w:val="26"/>
        </w:rPr>
        <w:t>11. GOVERNING LAW</w:t>
      </w:r>
    </w:p>
    <w:p>
      <w:r>
        <w:rPr>
          <w:rFonts w:ascii="Calibri" w:hAnsi="Calibri"/>
          <w:b w:val="0"/>
          <w:i w:val="0"/>
          <w:sz w:val="20"/>
        </w:rPr>
        <w:t>This Contract is governed by the laws of the Republic of Cyprus. The courts of Cyprus shall have exclusive jurisdiction over any dispute arising hereunder. Any notice shall be in writing and sent by email or registered post to the addresses above.</w:t>
      </w:r>
    </w:p>
    <w:p/>
    <w:p>
      <w:r>
        <w:t>────────────────────────────────────────────────────────────────────────</w:t>
      </w:r>
    </w:p>
    <w:p>
      <w:pPr>
        <w:pStyle w:val="Heading1"/>
        <w:jc w:val="left"/>
      </w:pPr>
      <w:r>
        <w:rPr>
          <w:b/>
          <w:color w:val="1A6B3C"/>
          <w:sz w:val="26"/>
        </w:rPr>
        <w:t>SIGNATURES</w:t>
      </w:r>
    </w:p>
    <w:p>
      <w:r>
        <w:rPr>
          <w:rFonts w:ascii="Calibri" w:hAnsi="Calibri"/>
          <w:b w:val="0"/>
          <w:i w:val="0"/>
          <w:sz w:val="20"/>
        </w:rPr>
        <w:t>By signing below, both parties confirm they have read, understood, and agreed to all terms of this Contract, including the regulatory acknowledgments in Section 6.</w:t>
      </w:r>
    </w:p>
    <w:p/>
    <w:tbl>
      <w:tblPr>
        <w:tblStyle w:val="TableGrid"/>
        <w:tblW w:type="auto" w:w="0"/>
        <w:tblLook w:firstColumn="1" w:firstRow="1" w:lastColumn="0" w:lastRow="0" w:noHBand="0" w:noVBand="1" w:val="04A0"/>
      </w:tblPr>
      <w:tblGrid>
        <w:gridCol w:w="4419"/>
        <w:gridCol w:w="4419"/>
      </w:tblGrid>
      <w:tr>
        <w:tc>
          <w:tcPr>
            <w:tcW w:type="dxa" w:w="4419"/>
            <w:shd w:val="clear" w:color="auto" w:fill="1A6B3C"/>
          </w:tcPr>
          <w:p>
            <w:r>
              <w:rPr>
                <w:b/>
                <w:color w:val="FFFFFF"/>
                <w:sz w:val="18"/>
              </w:rPr>
              <w:t>FOR THE CLIENT</w:t>
            </w:r>
          </w:p>
        </w:tc>
        <w:tc>
          <w:tcPr>
            <w:tcW w:type="dxa" w:w="4419"/>
            <w:shd w:val="clear" w:color="auto" w:fill="1A6B3C"/>
          </w:tcPr>
          <w:p>
            <w:r>
              <w:rPr>
                <w:b/>
                <w:color w:val="FFFFFF"/>
                <w:sz w:val="18"/>
              </w:rPr>
              <w:t>FOR THE CONTRACTOR — LIGHTHIEF CYPRUS LTD</w:t>
            </w:r>
          </w:p>
        </w:tc>
      </w:tr>
      <w:tr>
        <w:tc>
          <w:tcPr>
            <w:tcW w:type="dxa" w:w="4419"/>
          </w:tcPr>
          <w:p>
            <w:r>
              <w:rPr>
                <w:sz w:val="18"/>
              </w:rPr>
              <w:t>Name: ______________________</w:t>
            </w:r>
          </w:p>
        </w:tc>
        <w:tc>
          <w:tcPr>
            <w:tcW w:type="dxa" w:w="4419"/>
          </w:tcPr>
          <w:p>
            <w:r>
              <w:rPr>
                <w:sz w:val="18"/>
              </w:rPr>
              <w:t>Name: Alexander Papacosta</w:t>
            </w:r>
          </w:p>
        </w:tc>
      </w:tr>
      <w:tr>
        <w:tc>
          <w:tcPr>
            <w:tcW w:type="dxa" w:w="4419"/>
          </w:tcPr>
          <w:p>
            <w:r>
              <w:rPr>
                <w:sz w:val="18"/>
              </w:rPr>
              <w:t>Capacity: ___________________</w:t>
            </w:r>
          </w:p>
        </w:tc>
        <w:tc>
          <w:tcPr>
            <w:tcW w:type="dxa" w:w="4419"/>
          </w:tcPr>
          <w:p>
            <w:r>
              <w:rPr>
                <w:sz w:val="18"/>
              </w:rPr>
              <w:t>Capacity: Director</w:t>
            </w:r>
          </w:p>
        </w:tc>
      </w:tr>
      <w:tr>
        <w:tc>
          <w:tcPr>
            <w:tcW w:type="dxa" w:w="4419"/>
          </w:tcPr>
          <w:p>
            <w:r>
              <w:rPr>
                <w:sz w:val="18"/>
              </w:rPr>
              <w:t>Signature: __________________</w:t>
            </w:r>
          </w:p>
        </w:tc>
        <w:tc>
          <w:tcPr>
            <w:tcW w:type="dxa" w:w="4419"/>
          </w:tcPr>
          <w:p>
            <w:r>
              <w:rPr>
                <w:sz w:val="18"/>
              </w:rPr>
              <w:t>Signature: __________________</w:t>
            </w:r>
          </w:p>
        </w:tc>
      </w:tr>
      <w:tr>
        <w:tc>
          <w:tcPr>
            <w:tcW w:type="dxa" w:w="4419"/>
          </w:tcPr>
          <w:p>
            <w:r>
              <w:rPr>
                <w:sz w:val="18"/>
              </w:rPr>
              <w:t>Date: _______________________</w:t>
            </w:r>
          </w:p>
        </w:tc>
        <w:tc>
          <w:tcPr>
            <w:tcW w:type="dxa" w:w="4419"/>
          </w:tcPr>
          <w:p>
            <w:r>
              <w:rPr>
                <w:sz w:val="18"/>
              </w:rPr>
              <w:t>Date: _______________________</w:t>
            </w:r>
          </w:p>
        </w:tc>
      </w:tr>
    </w:tbl>
    <w:p/>
    <w:p>
      <w:r>
        <w:rPr>
          <w:rFonts w:ascii="Calibri" w:hAnsi="Calibri"/>
          <w:b w:val="0"/>
          <w:i/>
          <w:color w:val="404040"/>
          <w:sz w:val="20"/>
        </w:rPr>
        <w:t>* Both parties should initial each page and retain one signed original each.</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