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4703"/>
        <w:gridCol w:w="4703"/>
      </w:tblGrid>
      <w:tr>
        <w:tc>
          <w:tcPr>
            <w:tcW w:type="dxa" w:w="1584"/>
            <w:shd w:val="clear" w:color="auto" w:fill="1A365D"/>
          </w:tcPr>
          <w:p>
            <w:pPr>
              <w:jc w:val="center"/>
              <w:spacing w:before="60" w:after="60"/>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5800" cy="685800"/>
                          </a:xfrm>
                          <a:prstGeom prst="rect"/>
                        </pic:spPr>
                      </pic:pic>
                    </a:graphicData>
                  </a:graphic>
                </wp:inline>
              </w:drawing>
            </w:r>
          </w:p>
        </w:tc>
        <w:tc>
          <w:tcPr>
            <w:tcW w:type="dxa" w:w="7776"/>
            <w:shd w:val="clear" w:color="auto" w:fill="1A365D"/>
          </w:tcPr>
          <w:p>
            <w:pPr>
              <w:spacing w:before="40" w:after="0"/>
            </w:pPr>
            <w:r>
              <w:rPr>
                <w:b/>
                <w:color w:val="C9A432"/>
                <w:sz w:val="32"/>
              </w:rPr>
              <w:t>LIGHTHIEF CYPRUS LTD</w:t>
            </w:r>
          </w:p>
          <w:p>
            <w:pPr>
              <w:spacing w:before="0" w:after="0"/>
            </w:pPr>
            <w:r>
              <w:rPr>
                <w:color w:val="FFFFFF"/>
                <w:sz w:val="20"/>
              </w:rPr>
              <w:t>Solar Photovoltaic System Commissioning Contract</w:t>
            </w:r>
          </w:p>
          <w:p>
            <w:pPr>
              <w:spacing w:before="0" w:after="60"/>
            </w:pPr>
            <w:r>
              <w:rPr>
                <w:color w:val="B0BED4"/>
                <w:sz w:val="17"/>
              </w:rPr>
              <w:t>Contractor: Procurement &amp; Installation</w:t>
            </w:r>
          </w:p>
        </w:tc>
      </w:tr>
    </w:tbl>
    <w:p/>
    <w:p>
      <w:pPr>
        <w:pBdr>
          <w:bottom w:val="single" w:sz="6" w:color="1A365D"/>
        </w:pBdr>
        <w:spacing w:before="0" w:after="80"/>
      </w:pPr>
    </w:p>
    <w:p>
      <w:pPr>
        <w:pBdr>
          <w:bottom w:val="single" w:sz="6" w:color="1A365D"/>
        </w:pBdr>
        <w:spacing w:before="160" w:after="60"/>
      </w:pPr>
      <w:r>
        <w:rPr>
          <w:b/>
          <w:color w:val="C9A432"/>
          <w:sz w:val="26"/>
        </w:rPr>
        <w:t>PARTIES</w:t>
      </w:r>
    </w:p>
    <w:tbl>
      <w:tblPr>
        <w:tblStyle w:val="TableGrid"/>
        <w:tblW w:type="auto" w:w="0"/>
        <w:jc w:val="left"/>
        <w:tblLook w:firstColumn="1" w:firstRow="1" w:lastColumn="0" w:lastRow="0" w:noHBand="0" w:noVBand="1" w:val="04A0"/>
      </w:tblPr>
      <w:tblGrid>
        <w:gridCol w:w="4703"/>
        <w:gridCol w:w="4703"/>
      </w:tblGrid>
      <w:tr>
        <w:tc>
          <w:tcPr>
            <w:tcW w:type="dxa" w:w="4680"/>
            <w:shd w:val="clear" w:color="auto" w:fill="F0F4F8"/>
          </w:tcPr>
          <w:p>
            <w:pPr>
              <w:spacing w:before="40" w:after="20"/>
            </w:pPr>
            <w:r>
              <w:rPr>
                <w:b/>
                <w:color w:val="1A365D"/>
                <w:sz w:val="19"/>
              </w:rPr>
              <w:t>CONTRACTOR</w:t>
            </w:r>
          </w:p>
          <w:p>
            <w:pPr>
              <w:spacing w:before="0" w:after="20"/>
            </w:pPr>
            <w:r>
              <w:rPr>
                <w:b/>
                <w:color w:val="404040"/>
                <w:sz w:val="18"/>
              </w:rPr>
              <w:t xml:space="preserve">Company: </w:t>
            </w:r>
            <w:r>
              <w:rPr>
                <w:color w:val="000000"/>
                <w:sz w:val="18"/>
              </w:rPr>
              <w:t>LIGHTHIEF CYPRUS LTD</w:t>
            </w:r>
          </w:p>
          <w:p>
            <w:pPr>
              <w:spacing w:before="0" w:after="20"/>
            </w:pPr>
            <w:r>
              <w:rPr>
                <w:b/>
                <w:color w:val="404040"/>
                <w:sz w:val="18"/>
              </w:rPr>
              <w:t xml:space="preserve">Reg. No.: </w:t>
            </w:r>
            <w:r>
              <w:rPr>
                <w:color w:val="000000"/>
                <w:sz w:val="18"/>
              </w:rPr>
              <w:t>HE 477423</w:t>
            </w:r>
          </w:p>
          <w:p>
            <w:pPr>
              <w:spacing w:before="0" w:after="20"/>
            </w:pPr>
            <w:r>
              <w:rPr>
                <w:b/>
                <w:color w:val="404040"/>
                <w:sz w:val="18"/>
              </w:rPr>
              <w:t xml:space="preserve">TIN: </w:t>
            </w:r>
            <w:r>
              <w:rPr>
                <w:color w:val="000000"/>
                <w:sz w:val="18"/>
              </w:rPr>
              <w:t>60187188Q</w:t>
            </w:r>
          </w:p>
          <w:p>
            <w:pPr>
              <w:spacing w:before="0" w:after="20"/>
            </w:pPr>
            <w:r>
              <w:rPr>
                <w:b/>
                <w:color w:val="404040"/>
                <w:sz w:val="18"/>
              </w:rPr>
              <w:t xml:space="preserve">Address: </w:t>
            </w:r>
            <w:r>
              <w:rPr>
                <w:color w:val="000000"/>
                <w:sz w:val="18"/>
              </w:rPr>
              <w:t>28 October Ave 249, Lophitis Business Center 1,</w:t>
              <w:br/>
              <w:t>Office 201, 3035 Limassol, Cyprus</w:t>
            </w:r>
          </w:p>
          <w:p>
            <w:pPr>
              <w:spacing w:before="0" w:after="20"/>
            </w:pPr>
            <w:r>
              <w:rPr>
                <w:b/>
                <w:color w:val="404040"/>
                <w:sz w:val="18"/>
              </w:rPr>
              <w:t xml:space="preserve">Email: </w:t>
            </w:r>
            <w:r>
              <w:rPr>
                <w:color w:val="000000"/>
                <w:sz w:val="18"/>
              </w:rPr>
              <w:t>office@lighthief.com</w:t>
            </w:r>
          </w:p>
          <w:p>
            <w:pPr>
              <w:spacing w:before="0" w:after="20"/>
            </w:pPr>
            <w:r>
              <w:rPr>
                <w:b/>
                <w:color w:val="404040"/>
                <w:sz w:val="18"/>
              </w:rPr>
              <w:t xml:space="preserve">Tel: </w:t>
            </w:r>
            <w:r>
              <w:rPr>
                <w:color w:val="000000"/>
                <w:sz w:val="18"/>
              </w:rPr>
              <w:t>+357 77 77 00 50</w:t>
            </w:r>
          </w:p>
          <w:p>
            <w:pPr>
              <w:spacing w:before="0" w:after="20"/>
            </w:pPr>
            <w:r>
              <w:rPr>
                <w:b/>
                <w:color w:val="404040"/>
                <w:sz w:val="18"/>
              </w:rPr>
              <w:t xml:space="preserve">Representative: </w:t>
            </w:r>
            <w:r>
              <w:rPr>
                <w:color w:val="000000"/>
                <w:sz w:val="18"/>
              </w:rPr>
              <w:t>Alexander Papacosta, Director</w:t>
            </w:r>
          </w:p>
        </w:tc>
        <w:tc>
          <w:tcPr>
            <w:tcW w:type="dxa" w:w="4680"/>
            <w:shd w:val="clear" w:color="auto" w:fill="FAFBFC"/>
          </w:tcPr>
          <w:p>
            <w:pPr>
              <w:spacing w:before="40" w:after="20"/>
            </w:pPr>
            <w:r>
              <w:rPr>
                <w:b/>
                <w:color w:val="1A365D"/>
                <w:sz w:val="19"/>
              </w:rPr>
              <w:t>CLIENT</w:t>
            </w:r>
          </w:p>
          <w:p>
            <w:pPr>
              <w:spacing w:before="0" w:after="20"/>
            </w:pPr>
            <w:r>
              <w:rPr>
                <w:b/>
                <w:color w:val="404040"/>
                <w:sz w:val="18"/>
              </w:rPr>
              <w:t xml:space="preserve">Full Name / Company: </w:t>
            </w:r>
            <w:r>
              <w:rPr>
                <w:color w:val="000000"/>
                <w:sz w:val="18"/>
              </w:rPr>
              <w:t>[Fill]</w:t>
            </w:r>
          </w:p>
          <w:p>
            <w:pPr>
              <w:spacing w:before="0" w:after="20"/>
            </w:pPr>
            <w:r>
              <w:rPr>
                <w:b/>
                <w:color w:val="404040"/>
                <w:sz w:val="18"/>
              </w:rPr>
              <w:t xml:space="preserve">ID / Reg. No.: </w:t>
            </w:r>
            <w:r>
              <w:rPr>
                <w:color w:val="000000"/>
                <w:sz w:val="18"/>
              </w:rPr>
              <w:t>[Fill]</w:t>
            </w:r>
          </w:p>
          <w:p>
            <w:pPr>
              <w:spacing w:before="0" w:after="20"/>
            </w:pPr>
            <w:r>
              <w:rPr>
                <w:b/>
                <w:color w:val="404040"/>
                <w:sz w:val="18"/>
              </w:rPr>
              <w:t xml:space="preserve">Address: </w:t>
            </w:r>
            <w:r>
              <w:rPr>
                <w:color w:val="000000"/>
                <w:sz w:val="18"/>
              </w:rPr>
              <w:t>[Fill]</w:t>
            </w:r>
          </w:p>
          <w:p>
            <w:pPr>
              <w:spacing w:before="0" w:after="20"/>
            </w:pPr>
            <w:r>
              <w:rPr>
                <w:b/>
                <w:color w:val="404040"/>
                <w:sz w:val="18"/>
              </w:rPr>
              <w:t xml:space="preserve">Email: </w:t>
            </w:r>
            <w:r>
              <w:rPr>
                <w:color w:val="000000"/>
                <w:sz w:val="18"/>
              </w:rPr>
              <w:t>[Fill]</w:t>
            </w:r>
          </w:p>
          <w:p>
            <w:pPr>
              <w:spacing w:before="0" w:after="20"/>
            </w:pPr>
            <w:r>
              <w:rPr>
                <w:b/>
                <w:color w:val="404040"/>
                <w:sz w:val="18"/>
              </w:rPr>
              <w:t xml:space="preserve">Tel: </w:t>
            </w:r>
            <w:r>
              <w:rPr>
                <w:color w:val="000000"/>
                <w:sz w:val="18"/>
              </w:rPr>
              <w:t>[Fill]</w:t>
            </w:r>
          </w:p>
          <w:p>
            <w:pPr>
              <w:spacing w:before="0" w:after="20"/>
            </w:pPr>
            <w:r>
              <w:rPr>
                <w:b/>
                <w:color w:val="404040"/>
                <w:sz w:val="18"/>
              </w:rPr>
              <w:t xml:space="preserve">Representative: </w:t>
            </w:r>
            <w:r>
              <w:rPr>
                <w:color w:val="000000"/>
                <w:sz w:val="18"/>
              </w:rPr>
              <w:t>[Fill]</w:t>
            </w:r>
          </w:p>
        </w:tc>
      </w:tr>
    </w:tbl>
    <w:p/>
    <w:p>
      <w:pPr>
        <w:spacing w:before="0" w:after="80"/>
      </w:pPr>
      <w:r>
        <w:rPr>
          <w:i/>
          <w:color w:val="404040"/>
          <w:sz w:val="19"/>
        </w:rPr>
        <w:t>Contractor and Client are referred to individually as a "Party" and collectively as the "Parties." This Contract is governed by the laws of the Republic of Cyprus.</w:t>
      </w:r>
    </w:p>
    <w:p>
      <w:pPr>
        <w:pBdr>
          <w:bottom w:val="single" w:sz="6" w:color="1A365D"/>
        </w:pBdr>
        <w:spacing w:before="0" w:after="80"/>
      </w:pPr>
    </w:p>
    <w:p>
      <w:pPr>
        <w:pBdr>
          <w:bottom w:val="single" w:sz="6" w:color="1A365D"/>
        </w:pBdr>
        <w:spacing w:before="160" w:after="60"/>
      </w:pPr>
      <w:r>
        <w:rPr>
          <w:b/>
          <w:color w:val="C9A432"/>
          <w:sz w:val="26"/>
        </w:rPr>
        <w:t>1.  SCOPE OF WORK</w:t>
      </w:r>
    </w:p>
    <w:p>
      <w:pPr>
        <w:spacing w:before="100" w:after="40"/>
      </w:pPr>
      <w:r>
        <w:rPr>
          <w:b/>
          <w:color w:val="1A365D"/>
          <w:sz w:val="21"/>
        </w:rPr>
        <w:t>1.1  System Specifications</w:t>
      </w:r>
    </w:p>
    <w:p>
      <w:pPr>
        <w:ind w:left="0"/>
        <w:spacing w:before="0" w:after="50"/>
      </w:pPr>
      <w:r>
        <w:rPr>
          <w:color w:val="000000"/>
          <w:sz w:val="20"/>
        </w:rPr>
        <w:t>The Contractor shall supply, deliver, install, and commission a photovoltaic and battery energy storage system (where batteries are applicable) at the premises specified below. The scope includes all labour, materials, cabling, protection devices, and programming required for a fully operational system.</w:t>
      </w:r>
    </w:p>
    <w:tbl>
      <w:tblPr>
        <w:tblStyle w:val="TableGrid"/>
        <w:tblW w:type="auto" w:w="0"/>
        <w:tblLook w:firstColumn="1" w:firstRow="1" w:lastColumn="0" w:lastRow="0" w:noHBand="0" w:noVBand="1" w:val="04A0"/>
      </w:tblPr>
      <w:tblGrid>
        <w:gridCol w:w="4703"/>
        <w:gridCol w:w="4703"/>
      </w:tblGrid>
      <w:tr>
        <w:tc>
          <w:tcPr>
            <w:tcW w:type="dxa" w:w="3168"/>
            <w:shd w:val="clear" w:color="auto" w:fill="1A365D"/>
          </w:tcPr>
          <w:p>
            <w:pPr>
              <w:spacing w:before="40" w:after="40"/>
            </w:pPr>
            <w:r>
              <w:rPr>
                <w:b/>
                <w:color w:val="FFFFFF"/>
                <w:sz w:val="19"/>
              </w:rPr>
              <w:t>Parameter</w:t>
            </w:r>
          </w:p>
        </w:tc>
        <w:tc>
          <w:tcPr>
            <w:tcW w:type="dxa" w:w="6192"/>
            <w:shd w:val="clear" w:color="auto" w:fill="1A365D"/>
          </w:tcPr>
          <w:p>
            <w:pPr>
              <w:spacing w:before="40" w:after="40"/>
            </w:pPr>
            <w:r>
              <w:rPr>
                <w:b/>
                <w:color w:val="FFFFFF"/>
                <w:sz w:val="19"/>
              </w:rPr>
              <w:t>Specification</w:t>
            </w:r>
          </w:p>
        </w:tc>
      </w:tr>
      <w:tr>
        <w:tc>
          <w:tcPr>
            <w:tcW w:type="dxa" w:w="3168"/>
            <w:shd w:val="clear" w:color="auto" w:fill="F5F7FA"/>
          </w:tcPr>
          <w:p>
            <w:pPr>
              <w:spacing w:before="40" w:after="40"/>
            </w:pPr>
            <w:r>
              <w:rPr>
                <w:b/>
                <w:color w:val="1A365D"/>
                <w:sz w:val="19"/>
              </w:rPr>
              <w:t>Installation Address</w:t>
            </w:r>
          </w:p>
        </w:tc>
        <w:tc>
          <w:tcPr>
            <w:tcW w:type="dxa" w:w="6192"/>
          </w:tcPr>
          <w:p>
            <w:pPr>
              <w:spacing w:before="40" w:after="40"/>
            </w:pPr>
            <w:r>
              <w:rPr>
                <w:color w:val="000000"/>
                <w:sz w:val="19"/>
              </w:rPr>
              <w:t>[Address]</w:t>
            </w:r>
          </w:p>
        </w:tc>
      </w:tr>
      <w:tr>
        <w:tc>
          <w:tcPr>
            <w:tcW w:type="dxa" w:w="3168"/>
            <w:shd w:val="clear" w:color="auto" w:fill="F5F7FA"/>
          </w:tcPr>
          <w:p>
            <w:pPr>
              <w:spacing w:before="40" w:after="40"/>
            </w:pPr>
            <w:r>
              <w:rPr>
                <w:b/>
                <w:color w:val="1A365D"/>
                <w:sz w:val="19"/>
              </w:rPr>
              <w:t>Solar Panels</w:t>
            </w:r>
          </w:p>
        </w:tc>
        <w:tc>
          <w:tcPr>
            <w:tcW w:type="dxa" w:w="6192"/>
          </w:tcPr>
          <w:p>
            <w:pPr>
              <w:spacing w:before="40" w:after="40"/>
            </w:pPr>
            <w:r>
              <w:rPr>
                <w:color w:val="000000"/>
                <w:sz w:val="19"/>
              </w:rPr>
              <w:t>[No. of Panels] × [Panel Power W] [Model]</w:t>
            </w:r>
          </w:p>
        </w:tc>
      </w:tr>
      <w:tr>
        <w:tc>
          <w:tcPr>
            <w:tcW w:type="dxa" w:w="3168"/>
            <w:shd w:val="clear" w:color="auto" w:fill="F5F7FA"/>
          </w:tcPr>
          <w:p>
            <w:pPr>
              <w:spacing w:before="40" w:after="40"/>
            </w:pPr>
            <w:r>
              <w:rPr>
                <w:b/>
                <w:color w:val="1A365D"/>
                <w:sz w:val="19"/>
              </w:rPr>
              <w:t>PV Capacity</w:t>
            </w:r>
          </w:p>
        </w:tc>
        <w:tc>
          <w:tcPr>
            <w:tcW w:type="dxa" w:w="6192"/>
          </w:tcPr>
          <w:p>
            <w:pPr>
              <w:spacing w:before="40" w:after="40"/>
            </w:pPr>
            <w:r>
              <w:rPr>
                <w:color w:val="000000"/>
                <w:sz w:val="19"/>
              </w:rPr>
              <w:t>[Total kWp]</w:t>
            </w:r>
          </w:p>
        </w:tc>
      </w:tr>
      <w:tr>
        <w:tc>
          <w:tcPr>
            <w:tcW w:type="dxa" w:w="3168"/>
            <w:shd w:val="clear" w:color="auto" w:fill="F5F7FA"/>
          </w:tcPr>
          <w:p>
            <w:pPr>
              <w:spacing w:before="40" w:after="40"/>
            </w:pPr>
            <w:r>
              <w:rPr>
                <w:b/>
                <w:color w:val="1A365D"/>
                <w:sz w:val="19"/>
              </w:rPr>
              <w:t>Inverter(s)</w:t>
            </w:r>
          </w:p>
        </w:tc>
        <w:tc>
          <w:tcPr>
            <w:tcW w:type="dxa" w:w="6192"/>
          </w:tcPr>
          <w:p>
            <w:pPr>
              <w:spacing w:before="40" w:after="40"/>
            </w:pPr>
            <w:r>
              <w:rPr>
                <w:color w:val="000000"/>
                <w:sz w:val="19"/>
              </w:rPr>
              <w:t>[No. of Inverters] × [Inverter kW] [Model]</w:t>
            </w:r>
          </w:p>
        </w:tc>
      </w:tr>
      <w:tr>
        <w:tc>
          <w:tcPr>
            <w:tcW w:type="dxa" w:w="3168"/>
            <w:shd w:val="clear" w:color="auto" w:fill="F5F7FA"/>
          </w:tcPr>
          <w:p>
            <w:pPr>
              <w:spacing w:before="40" w:after="40"/>
            </w:pPr>
            <w:r>
              <w:rPr>
                <w:b/>
                <w:color w:val="1A365D"/>
                <w:sz w:val="19"/>
              </w:rPr>
              <w:t>Battery Unit(s)</w:t>
            </w:r>
          </w:p>
        </w:tc>
        <w:tc>
          <w:tcPr>
            <w:tcW w:type="dxa" w:w="6192"/>
          </w:tcPr>
          <w:p>
            <w:pPr>
              <w:spacing w:before="40" w:after="40"/>
            </w:pPr>
            <w:r>
              <w:rPr>
                <w:color w:val="000000"/>
                <w:sz w:val="19"/>
              </w:rPr>
              <w:t>[No. of BESS] × [BESS Capacity kWh] [Model]  (or: Not applicable)</w:t>
            </w:r>
          </w:p>
        </w:tc>
      </w:tr>
      <w:tr>
        <w:tc>
          <w:tcPr>
            <w:tcW w:type="dxa" w:w="3168"/>
            <w:shd w:val="clear" w:color="auto" w:fill="F5F7FA"/>
          </w:tcPr>
          <w:p>
            <w:pPr>
              <w:spacing w:before="40" w:after="40"/>
            </w:pPr>
            <w:r>
              <w:rPr>
                <w:b/>
                <w:color w:val="1A365D"/>
                <w:sz w:val="19"/>
              </w:rPr>
              <w:t>Battery Capacity</w:t>
            </w:r>
          </w:p>
        </w:tc>
        <w:tc>
          <w:tcPr>
            <w:tcW w:type="dxa" w:w="6192"/>
          </w:tcPr>
          <w:p>
            <w:pPr>
              <w:spacing w:before="40" w:after="40"/>
            </w:pPr>
            <w:r>
              <w:rPr>
                <w:color w:val="000000"/>
                <w:sz w:val="19"/>
              </w:rPr>
              <w:t>[Total kWh]  (or: Not applicable)</w:t>
            </w:r>
          </w:p>
        </w:tc>
      </w:tr>
      <w:tr>
        <w:tc>
          <w:tcPr>
            <w:tcW w:type="dxa" w:w="3168"/>
            <w:shd w:val="clear" w:color="auto" w:fill="F5F7FA"/>
          </w:tcPr>
          <w:p>
            <w:pPr>
              <w:spacing w:before="40" w:after="40"/>
            </w:pPr>
            <w:r>
              <w:rPr>
                <w:b/>
                <w:color w:val="1A365D"/>
                <w:sz w:val="19"/>
              </w:rPr>
              <w:t>Generator Interface (ATS)</w:t>
            </w:r>
          </w:p>
        </w:tc>
        <w:tc>
          <w:tcPr>
            <w:tcW w:type="dxa" w:w="6192"/>
          </w:tcPr>
          <w:p>
            <w:pPr>
              <w:spacing w:before="40" w:after="40"/>
            </w:pPr>
            <w:r>
              <w:rPr>
                <w:color w:val="000000"/>
                <w:sz w:val="19"/>
              </w:rPr>
              <w:t>☐ Included   ☐ Not included</w:t>
            </w:r>
          </w:p>
        </w:tc>
      </w:tr>
      <w:tr>
        <w:tc>
          <w:tcPr>
            <w:tcW w:type="dxa" w:w="3168"/>
            <w:shd w:val="clear" w:color="auto" w:fill="F5F7FA"/>
          </w:tcPr>
          <w:p>
            <w:pPr>
              <w:spacing w:before="40" w:after="40"/>
            </w:pPr>
            <w:r>
              <w:rPr>
                <w:b/>
                <w:color w:val="1A365D"/>
                <w:sz w:val="19"/>
              </w:rPr>
              <w:t>Remote Monitoring</w:t>
            </w:r>
          </w:p>
        </w:tc>
        <w:tc>
          <w:tcPr>
            <w:tcW w:type="dxa" w:w="6192"/>
          </w:tcPr>
          <w:p>
            <w:pPr>
              <w:spacing w:before="40" w:after="40"/>
            </w:pPr>
            <w:r>
              <w:rPr>
                <w:color w:val="000000"/>
                <w:sz w:val="19"/>
              </w:rPr>
              <w:t>☐ Included   ☐ Not included</w:t>
            </w:r>
          </w:p>
        </w:tc>
      </w:tr>
      <w:tr>
        <w:tc>
          <w:tcPr>
            <w:tcW w:type="dxa" w:w="3168"/>
            <w:shd w:val="clear" w:color="auto" w:fill="F5F7FA"/>
          </w:tcPr>
          <w:p>
            <w:pPr>
              <w:spacing w:before="40" w:after="40"/>
            </w:pPr>
            <w:r>
              <w:rPr>
                <w:b/>
                <w:color w:val="1A365D"/>
                <w:sz w:val="19"/>
              </w:rPr>
              <w:t>Estimated Annual Yield (indicative)</w:t>
            </w:r>
          </w:p>
        </w:tc>
        <w:tc>
          <w:tcPr>
            <w:tcW w:type="dxa" w:w="6192"/>
          </w:tcPr>
          <w:p>
            <w:pPr>
              <w:spacing w:before="40" w:after="40"/>
            </w:pPr>
            <w:r>
              <w:rPr>
                <w:color w:val="000000"/>
                <w:sz w:val="19"/>
              </w:rPr>
              <w:t>[kWh/year] — see §1.4 disclaimer</w:t>
            </w:r>
          </w:p>
        </w:tc>
      </w:tr>
    </w:tbl>
    <w:p/>
    <w:p>
      <w:pPr>
        <w:spacing w:before="100" w:after="40"/>
      </w:pPr>
      <w:r>
        <w:rPr>
          <w:b/>
          <w:color w:val="1A365D"/>
          <w:sz w:val="21"/>
        </w:rPr>
        <w:t>1.2  Services Included</w:t>
      </w:r>
    </w:p>
    <w:p>
      <w:pPr>
        <w:ind w:left="0"/>
        <w:spacing w:before="0" w:after="50"/>
      </w:pPr>
      <w:r>
        <w:rPr>
          <w:color w:val="000000"/>
          <w:sz w:val="20"/>
        </w:rPr>
        <w:t>The Contractor shall provide:</w:t>
      </w:r>
    </w:p>
    <w:p>
      <w:pPr>
        <w:pStyle w:val="ListBullet"/>
        <w:ind w:left="227"/>
        <w:spacing w:before="0" w:after="30"/>
      </w:pPr>
      <w:r>
        <w:rPr>
          <w:color w:val="000000"/>
          <w:sz w:val="20"/>
        </w:rPr>
        <w:t>Site assessment and system design;</w:t>
      </w:r>
    </w:p>
    <w:p>
      <w:pPr>
        <w:pStyle w:val="ListBullet"/>
        <w:ind w:left="227"/>
        <w:spacing w:before="0" w:after="30"/>
      </w:pPr>
      <w:r>
        <w:rPr>
          <w:color w:val="000000"/>
          <w:sz w:val="20"/>
        </w:rPr>
        <w:t>Submission of application to EAC (Electricity Authority of Cyprus);</w:t>
      </w:r>
    </w:p>
    <w:p>
      <w:pPr>
        <w:pStyle w:val="ListBullet"/>
        <w:ind w:left="227"/>
        <w:spacing w:before="0" w:after="30"/>
      </w:pPr>
      <w:r>
        <w:rPr>
          <w:color w:val="000000"/>
          <w:sz w:val="20"/>
        </w:rPr>
        <w:t>Handling of all necessary permits and approvals;</w:t>
      </w:r>
    </w:p>
    <w:p>
      <w:pPr>
        <w:pStyle w:val="ListBullet"/>
        <w:ind w:left="227"/>
        <w:spacing w:before="0" w:after="30"/>
      </w:pPr>
      <w:r>
        <w:rPr>
          <w:color w:val="000000"/>
          <w:sz w:val="20"/>
        </w:rPr>
        <w:t>Supply of all equipment and materials;</w:t>
      </w:r>
    </w:p>
    <w:p>
      <w:pPr>
        <w:pStyle w:val="ListBullet"/>
        <w:ind w:left="227"/>
        <w:spacing w:before="0" w:after="30"/>
      </w:pPr>
      <w:r>
        <w:rPr>
          <w:color w:val="000000"/>
          <w:sz w:val="20"/>
        </w:rPr>
        <w:t>Professional installation in accordance with Cyprus standards;</w:t>
      </w:r>
    </w:p>
    <w:p>
      <w:pPr>
        <w:pStyle w:val="ListBullet"/>
        <w:ind w:left="227"/>
        <w:spacing w:before="0" w:after="30"/>
      </w:pPr>
      <w:r>
        <w:rPr>
          <w:color w:val="000000"/>
          <w:sz w:val="20"/>
        </w:rPr>
        <w:t>System commissioning and testing;</w:t>
      </w:r>
    </w:p>
    <w:p>
      <w:pPr>
        <w:pStyle w:val="ListBullet"/>
        <w:ind w:left="227"/>
        <w:spacing w:before="0" w:after="30"/>
      </w:pPr>
      <w:r>
        <w:rPr>
          <w:color w:val="000000"/>
          <w:sz w:val="20"/>
        </w:rPr>
        <w:t>Assistance to the Client with any available government subsidy applications (see §3.3 for scope and limitations);</w:t>
      </w:r>
    </w:p>
    <w:p>
      <w:pPr>
        <w:pStyle w:val="ListBullet"/>
        <w:ind w:left="227"/>
        <w:spacing w:before="0" w:after="30"/>
      </w:pPr>
      <w:r>
        <w:rPr>
          <w:color w:val="000000"/>
          <w:sz w:val="20"/>
        </w:rPr>
        <w:t>Training on system operation and monitoring.</w:t>
      </w:r>
    </w:p>
    <w:p>
      <w:pPr>
        <w:spacing w:before="100" w:after="40"/>
      </w:pPr>
      <w:r>
        <w:rPr>
          <w:b/>
          <w:color w:val="1A365D"/>
          <w:sz w:val="21"/>
        </w:rPr>
        <w:t>1.3  Installation Standards</w:t>
      </w:r>
    </w:p>
    <w:p>
      <w:pPr>
        <w:ind w:left="0"/>
        <w:spacing w:before="0" w:after="50"/>
      </w:pPr>
      <w:r>
        <w:rPr>
          <w:color w:val="000000"/>
          <w:sz w:val="20"/>
        </w:rPr>
        <w:t>All work shall comply with:</w:t>
      </w:r>
    </w:p>
    <w:p>
      <w:pPr>
        <w:pStyle w:val="ListBullet"/>
        <w:ind w:left="227"/>
        <w:spacing w:before="0" w:after="30"/>
      </w:pPr>
      <w:r>
        <w:rPr>
          <w:color w:val="000000"/>
          <w:sz w:val="20"/>
        </w:rPr>
        <w:t>Cyprus Electricity Authority (EAC) regulations;</w:t>
      </w:r>
    </w:p>
    <w:p>
      <w:pPr>
        <w:pStyle w:val="ListBullet"/>
        <w:ind w:left="227"/>
        <w:spacing w:before="0" w:after="30"/>
      </w:pPr>
      <w:r>
        <w:rPr>
          <w:color w:val="000000"/>
          <w:sz w:val="20"/>
        </w:rPr>
        <w:t>Cyprus Energy Regulatory Authority (CERA) requirements;</w:t>
      </w:r>
    </w:p>
    <w:p>
      <w:pPr>
        <w:pStyle w:val="ListBullet"/>
        <w:ind w:left="227"/>
        <w:spacing w:before="0" w:after="30"/>
      </w:pPr>
      <w:r>
        <w:rPr>
          <w:color w:val="000000"/>
          <w:sz w:val="20"/>
        </w:rPr>
        <w:t>EU safety and quality standards;</w:t>
      </w:r>
    </w:p>
    <w:p>
      <w:pPr>
        <w:pStyle w:val="ListBullet"/>
        <w:ind w:left="227"/>
        <w:spacing w:before="0" w:after="30"/>
      </w:pPr>
      <w:r>
        <w:rPr>
          <w:color w:val="000000"/>
          <w:sz w:val="20"/>
        </w:rPr>
        <w:t>Local building and planning regulations;</w:t>
      </w:r>
    </w:p>
    <w:p>
      <w:pPr>
        <w:pStyle w:val="ListBullet"/>
        <w:ind w:left="227"/>
        <w:spacing w:before="0" w:after="30"/>
      </w:pPr>
      <w:r>
        <w:rPr>
          <w:color w:val="000000"/>
          <w:sz w:val="20"/>
        </w:rPr>
        <w:t>All applicable Cyprus laws and regulations.</w:t>
      </w:r>
    </w:p>
    <w:p>
      <w:pPr>
        <w:spacing w:before="100" w:after="40"/>
      </w:pPr>
      <w:r>
        <w:rPr>
          <w:b/>
          <w:color w:val="1A365D"/>
          <w:sz w:val="21"/>
        </w:rPr>
        <w:t>1.4  Yield Disclaimer</w:t>
      </w:r>
    </w:p>
    <w:tbl>
      <w:tblPr>
        <w:tblW w:type="auto" w:w="0"/>
        <w:jc w:val="left"/>
        <w:tblLook w:firstColumn="1" w:firstRow="1" w:lastColumn="0" w:lastRow="0" w:noHBand="0" w:noVBand="1" w:val="04A0"/>
      </w:tblPr>
      <w:tblGrid>
        <w:gridCol w:w="9406"/>
      </w:tblGrid>
      <w:tr>
        <w:tc>
          <w:tcPr>
            <w:tcW w:type="dxa" w:w="9360"/>
            <w:shd w:val="clear" w:color="auto" w:fill="FFF8E1"/>
            <w:tcBorders>
              <w:top w:val="single" w:sz="12" w:color="C9A432"/>
              <w:bottom w:val="single" w:sz="12" w:color="C9A432"/>
              <w:left w:val="single" w:sz="12" w:color="C9A432"/>
              <w:right w:val="single" w:sz="12" w:color="C9A432"/>
            </w:tcBorders>
          </w:tcPr>
          <w:p>
            <w:pPr>
              <w:spacing w:before="60" w:after="60"/>
            </w:pPr>
            <w:r>
              <w:rPr>
                <w:color w:val="000000"/>
                <w:sz w:val="19"/>
              </w:rPr>
              <w:t>IMPORTANT: Any estimated annual yield figures provided in this Contract or in any accompanying proposal, quotation, or communication are indicative only. Actual energy generation depends on solar irradiation, shading, weather conditions, panel orientation, system degradation, and grid availability. The Contractor makes no warranty as to actual energy output unless a written performance guarantee is separately executed.</w:t>
            </w:r>
          </w:p>
        </w:tc>
      </w:tr>
    </w:tbl>
    <w:p/>
    <w:p>
      <w:pPr>
        <w:pBdr>
          <w:bottom w:val="single" w:sz="6" w:color="1A365D"/>
        </w:pBdr>
        <w:spacing w:before="160" w:after="60"/>
      </w:pPr>
      <w:r>
        <w:rPr>
          <w:b/>
          <w:color w:val="C9A432"/>
          <w:sz w:val="26"/>
        </w:rPr>
        <w:t>2.  TIMELINE AND MILESTONES</w:t>
      </w:r>
    </w:p>
    <w:p>
      <w:pPr>
        <w:spacing w:before="100" w:after="40"/>
      </w:pPr>
      <w:r>
        <w:rPr>
          <w:b/>
          <w:color w:val="1A365D"/>
          <w:sz w:val="21"/>
        </w:rPr>
        <w:t>2.1  Project Timeline</w:t>
      </w:r>
    </w:p>
    <w:tbl>
      <w:tblPr>
        <w:tblStyle w:val="TableGrid"/>
        <w:tblW w:type="auto" w:w="0"/>
        <w:jc w:val="left"/>
        <w:tblLook w:firstColumn="1" w:firstRow="1" w:lastColumn="0" w:lastRow="0" w:noHBand="0" w:noVBand="1" w:val="04A0"/>
      </w:tblPr>
      <w:tblGrid>
        <w:gridCol w:w="4703"/>
        <w:gridCol w:w="4703"/>
      </w:tblGrid>
      <w:tr>
        <w:tc>
          <w:tcPr>
            <w:tcW w:type="dxa" w:w="3456"/>
            <w:shd w:val="clear" w:color="auto" w:fill="1A365D"/>
          </w:tcPr>
          <w:p>
            <w:pPr>
              <w:spacing w:before="40" w:after="40"/>
            </w:pPr>
            <w:r>
              <w:rPr>
                <w:b/>
                <w:color w:val="FFFFFF"/>
                <w:sz w:val="19"/>
              </w:rPr>
              <w:t>Milestone</w:t>
            </w:r>
          </w:p>
        </w:tc>
        <w:tc>
          <w:tcPr>
            <w:tcW w:type="dxa" w:w="5904"/>
            <w:shd w:val="clear" w:color="auto" w:fill="1A365D"/>
          </w:tcPr>
          <w:p>
            <w:pPr>
              <w:spacing w:before="40" w:after="40"/>
            </w:pPr>
            <w:r>
              <w:rPr>
                <w:b/>
                <w:color w:val="FFFFFF"/>
                <w:sz w:val="19"/>
              </w:rPr>
              <w:t>Target Date / Trigger</w:t>
            </w:r>
          </w:p>
        </w:tc>
      </w:tr>
      <w:tr>
        <w:tc>
          <w:tcPr>
            <w:tcW w:type="dxa" w:w="3456"/>
            <w:shd w:val="clear" w:color="auto" w:fill="F5F7FA"/>
          </w:tcPr>
          <w:p>
            <w:pPr>
              <w:spacing w:before="40" w:after="40"/>
            </w:pPr>
            <w:r>
              <w:rPr>
                <w:b/>
                <w:color w:val="1A365D"/>
                <w:sz w:val="19"/>
              </w:rPr>
              <w:t>Contract Signing Date</w:t>
            </w:r>
          </w:p>
        </w:tc>
        <w:tc>
          <w:tcPr>
            <w:tcW w:type="dxa" w:w="5904"/>
          </w:tcPr>
          <w:p>
            <w:pPr>
              <w:spacing w:before="40" w:after="40"/>
            </w:pPr>
            <w:r>
              <w:rPr>
                <w:color w:val="000000"/>
                <w:sz w:val="19"/>
              </w:rPr>
              <w:t>[Date]</w:t>
            </w:r>
          </w:p>
        </w:tc>
      </w:tr>
      <w:tr>
        <w:tc>
          <w:tcPr>
            <w:tcW w:type="dxa" w:w="3456"/>
            <w:shd w:val="clear" w:color="auto" w:fill="F5F7FA"/>
          </w:tcPr>
          <w:p>
            <w:pPr>
              <w:spacing w:before="40" w:after="40"/>
            </w:pPr>
            <w:r>
              <w:rPr>
                <w:b/>
                <w:color w:val="1A365D"/>
                <w:sz w:val="19"/>
              </w:rPr>
              <w:t>EAC Application Submission</w:t>
            </w:r>
          </w:p>
        </w:tc>
        <w:tc>
          <w:tcPr>
            <w:tcW w:type="dxa" w:w="5904"/>
          </w:tcPr>
          <w:p>
            <w:pPr>
              <w:spacing w:before="40" w:after="40"/>
            </w:pPr>
            <w:r>
              <w:rPr>
                <w:color w:val="000000"/>
                <w:sz w:val="19"/>
              </w:rPr>
              <w:t>Within 1–2 weeks after all client documents received</w:t>
            </w:r>
          </w:p>
        </w:tc>
      </w:tr>
      <w:tr>
        <w:tc>
          <w:tcPr>
            <w:tcW w:type="dxa" w:w="3456"/>
            <w:shd w:val="clear" w:color="auto" w:fill="F5F7FA"/>
          </w:tcPr>
          <w:p>
            <w:pPr>
              <w:spacing w:before="40" w:after="40"/>
            </w:pPr>
            <w:r>
              <w:rPr>
                <w:b/>
                <w:color w:val="1A365D"/>
                <w:sz w:val="19"/>
              </w:rPr>
              <w:t>Expected EAC Approval</w:t>
            </w:r>
          </w:p>
        </w:tc>
        <w:tc>
          <w:tcPr>
            <w:tcW w:type="dxa" w:w="5904"/>
          </w:tcPr>
          <w:p>
            <w:pPr>
              <w:spacing w:before="40" w:after="40"/>
            </w:pPr>
            <w:r>
              <w:rPr>
                <w:color w:val="000000"/>
                <w:sz w:val="19"/>
              </w:rPr>
              <w:t>5–8 weeks from submission (subject to EAC processing times)</w:t>
            </w:r>
          </w:p>
        </w:tc>
      </w:tr>
      <w:tr>
        <w:tc>
          <w:tcPr>
            <w:tcW w:type="dxa" w:w="3456"/>
            <w:shd w:val="clear" w:color="auto" w:fill="F5F7FA"/>
          </w:tcPr>
          <w:p>
            <w:pPr>
              <w:spacing w:before="40" w:after="40"/>
            </w:pPr>
            <w:r>
              <w:rPr>
                <w:b/>
                <w:color w:val="1A365D"/>
                <w:sz w:val="19"/>
              </w:rPr>
              <w:t>Equipment Delivery</w:t>
            </w:r>
          </w:p>
        </w:tc>
        <w:tc>
          <w:tcPr>
            <w:tcW w:type="dxa" w:w="5904"/>
          </w:tcPr>
          <w:p>
            <w:pPr>
              <w:spacing w:before="40" w:after="40"/>
            </w:pPr>
            <w:r>
              <w:rPr>
                <w:color w:val="000000"/>
                <w:sz w:val="19"/>
              </w:rPr>
              <w:t>Within agreed programme; Client notified ≥ 3 days in advance</w:t>
            </w:r>
          </w:p>
        </w:tc>
      </w:tr>
      <w:tr>
        <w:tc>
          <w:tcPr>
            <w:tcW w:type="dxa" w:w="3456"/>
            <w:shd w:val="clear" w:color="auto" w:fill="F5F7FA"/>
          </w:tcPr>
          <w:p>
            <w:pPr>
              <w:spacing w:before="40" w:after="40"/>
            </w:pPr>
            <w:r>
              <w:rPr>
                <w:b/>
                <w:color w:val="1A365D"/>
                <w:sz w:val="19"/>
              </w:rPr>
              <w:t>Installation</w:t>
            </w:r>
          </w:p>
        </w:tc>
        <w:tc>
          <w:tcPr>
            <w:tcW w:type="dxa" w:w="5904"/>
          </w:tcPr>
          <w:p>
            <w:pPr>
              <w:spacing w:before="40" w:after="40"/>
            </w:pPr>
            <w:r>
              <w:rPr>
                <w:color w:val="000000"/>
                <w:sz w:val="19"/>
              </w:rPr>
              <w:t>Within 4 months of contract signing; duration 2–3 working days</w:t>
            </w:r>
          </w:p>
        </w:tc>
      </w:tr>
      <w:tr>
        <w:tc>
          <w:tcPr>
            <w:tcW w:type="dxa" w:w="3456"/>
            <w:shd w:val="clear" w:color="auto" w:fill="F5F7FA"/>
          </w:tcPr>
          <w:p>
            <w:pPr>
              <w:spacing w:before="40" w:after="40"/>
            </w:pPr>
            <w:r>
              <w:rPr>
                <w:b/>
                <w:color w:val="1A365D"/>
                <w:sz w:val="19"/>
              </w:rPr>
              <w:t>EAC Inspection</w:t>
            </w:r>
          </w:p>
        </w:tc>
        <w:tc>
          <w:tcPr>
            <w:tcW w:type="dxa" w:w="5904"/>
          </w:tcPr>
          <w:p>
            <w:pPr>
              <w:spacing w:before="40" w:after="40"/>
            </w:pPr>
            <w:r>
              <w:rPr>
                <w:color w:val="000000"/>
                <w:sz w:val="19"/>
              </w:rPr>
              <w:t>Scheduled by EAC following installation</w:t>
            </w:r>
          </w:p>
        </w:tc>
      </w:tr>
      <w:tr>
        <w:tc>
          <w:tcPr>
            <w:tcW w:type="dxa" w:w="3456"/>
            <w:shd w:val="clear" w:color="auto" w:fill="F5F7FA"/>
          </w:tcPr>
          <w:p>
            <w:pPr>
              <w:spacing w:before="40" w:after="40"/>
            </w:pPr>
            <w:r>
              <w:rPr>
                <w:b/>
                <w:color w:val="1A365D"/>
                <w:sz w:val="19"/>
              </w:rPr>
              <w:t>System Commissioning</w:t>
            </w:r>
          </w:p>
        </w:tc>
        <w:tc>
          <w:tcPr>
            <w:tcW w:type="dxa" w:w="5904"/>
          </w:tcPr>
          <w:p>
            <w:pPr>
              <w:spacing w:before="40" w:after="40"/>
            </w:pPr>
            <w:r>
              <w:rPr>
                <w:color w:val="000000"/>
                <w:sz w:val="19"/>
              </w:rPr>
              <w:t>Upon successful EAC inspection and grid connection approval</w:t>
            </w:r>
          </w:p>
        </w:tc>
      </w:tr>
    </w:tbl>
    <w:p/>
    <w:p>
      <w:pPr>
        <w:spacing w:before="100" w:after="40"/>
      </w:pPr>
      <w:r>
        <w:rPr>
          <w:b/>
          <w:color w:val="1A365D"/>
          <w:sz w:val="21"/>
        </w:rPr>
        <w:t>2.2  EAC Application Rejection</w:t>
      </w:r>
    </w:p>
    <w:p>
      <w:pPr>
        <w:ind w:left="0"/>
        <w:spacing w:before="0" w:after="50"/>
      </w:pPr>
      <w:r>
        <w:rPr>
          <w:color w:val="000000"/>
          <w:sz w:val="20"/>
        </w:rPr>
        <w:t>If EAC rejects the grid connection application or requires modifications to the installed system that render the project technically or economically unviable, the following shall apply:</w:t>
      </w:r>
    </w:p>
    <w:p>
      <w:pPr>
        <w:pStyle w:val="ListBullet"/>
        <w:ind w:left="227"/>
        <w:spacing w:before="0" w:after="30"/>
      </w:pPr>
      <w:r>
        <w:rPr>
          <w:color w:val="000000"/>
          <w:sz w:val="20"/>
        </w:rPr>
        <w:t>The Contractor shall notify the Client in writing within five (5) Business Days of receiving EAC's decision, setting out the reasons and any remedial options;</w:t>
      </w:r>
    </w:p>
    <w:p>
      <w:pPr>
        <w:pStyle w:val="ListBullet"/>
        <w:ind w:left="227"/>
        <w:spacing w:before="0" w:after="30"/>
      </w:pPr>
      <w:r>
        <w:rPr>
          <w:color w:val="000000"/>
          <w:sz w:val="20"/>
        </w:rPr>
        <w:t>The Parties shall negotiate in good faith for up to thirty (30) days to agree on a revised technical solution;</w:t>
      </w:r>
    </w:p>
    <w:p>
      <w:pPr>
        <w:pStyle w:val="ListBullet"/>
        <w:ind w:left="227"/>
        <w:spacing w:before="0" w:after="30"/>
      </w:pPr>
      <w:r>
        <w:rPr>
          <w:color w:val="000000"/>
          <w:sz w:val="20"/>
        </w:rPr>
        <w:t>If no solution is agreed within thirty (30) days, either Party may terminate this Contract by written notice. Upon termination: (i) the Client shall pay for all work completed and materials specifically procured; (ii) the Contractor shall refund all amounts received in excess of such costs within fourteen (14) days;</w:t>
      </w:r>
    </w:p>
    <w:p>
      <w:pPr>
        <w:pStyle w:val="ListBullet"/>
        <w:ind w:left="227"/>
        <w:spacing w:before="0" w:after="30"/>
      </w:pPr>
      <w:r>
        <w:rPr>
          <w:color w:val="000000"/>
          <w:sz w:val="20"/>
        </w:rPr>
        <w:t>The Contractor shall not be liable for EAC processing delays, EAC fee changes, or EAC rejection decisions beyond its reasonable control.</w:t>
      </w:r>
    </w:p>
    <w:p>
      <w:pPr>
        <w:spacing w:before="100" w:after="40"/>
      </w:pPr>
      <w:r>
        <w:rPr>
          <w:b/>
          <w:color w:val="1A365D"/>
          <w:sz w:val="21"/>
        </w:rPr>
        <w:t>2.3  Delays</w:t>
      </w:r>
    </w:p>
    <w:p>
      <w:pPr>
        <w:ind w:left="0"/>
        <w:spacing w:before="0" w:after="50"/>
      </w:pPr>
      <w:r>
        <w:rPr>
          <w:color w:val="000000"/>
          <w:sz w:val="20"/>
        </w:rPr>
        <w:t>The Contractor shall not be liable for delays caused by:</w:t>
      </w:r>
    </w:p>
    <w:p>
      <w:pPr>
        <w:pStyle w:val="ListBullet"/>
        <w:ind w:left="227"/>
        <w:spacing w:before="0" w:after="30"/>
      </w:pPr>
      <w:r>
        <w:rPr>
          <w:color w:val="000000"/>
          <w:sz w:val="20"/>
        </w:rPr>
        <w:t>EAC processing times;</w:t>
      </w:r>
    </w:p>
    <w:p>
      <w:pPr>
        <w:pStyle w:val="ListBullet"/>
        <w:ind w:left="227"/>
        <w:spacing w:before="0" w:after="30"/>
      </w:pPr>
      <w:r>
        <w:rPr>
          <w:color w:val="000000"/>
          <w:sz w:val="20"/>
        </w:rPr>
        <w:t>Weather conditions or force majeure events (see §13.6);</w:t>
      </w:r>
    </w:p>
    <w:p>
      <w:pPr>
        <w:pStyle w:val="ListBullet"/>
        <w:ind w:left="227"/>
        <w:spacing w:before="0" w:after="30"/>
      </w:pPr>
      <w:r>
        <w:rPr>
          <w:color w:val="000000"/>
          <w:sz w:val="20"/>
        </w:rPr>
        <w:t>Client-requested changes;</w:t>
      </w:r>
    </w:p>
    <w:p>
      <w:pPr>
        <w:pStyle w:val="ListBullet"/>
        <w:ind w:left="227"/>
        <w:spacing w:before="0" w:after="30"/>
      </w:pPr>
      <w:r>
        <w:rPr>
          <w:color w:val="000000"/>
          <w:sz w:val="20"/>
        </w:rPr>
        <w:t>Delays in obtaining permits beyond the Contractor's reasonable control;</w:t>
      </w:r>
    </w:p>
    <w:p>
      <w:pPr>
        <w:pStyle w:val="ListBullet"/>
        <w:ind w:left="227"/>
        <w:spacing w:before="0" w:after="30"/>
      </w:pPr>
      <w:r>
        <w:rPr>
          <w:color w:val="000000"/>
          <w:sz w:val="20"/>
        </w:rPr>
        <w:t>Client's failure to provide required documents or access.</w:t>
      </w:r>
    </w:p>
    <w:p>
      <w:pPr>
        <w:pBdr>
          <w:bottom w:val="single" w:sz="6" w:color="1A365D"/>
        </w:pBdr>
        <w:spacing w:before="160" w:after="60"/>
      </w:pPr>
      <w:r>
        <w:rPr>
          <w:b/>
          <w:color w:val="C9A432"/>
          <w:sz w:val="26"/>
        </w:rPr>
        <w:t>3.  PAYMENT TERMS</w:t>
      </w:r>
    </w:p>
    <w:p>
      <w:pPr>
        <w:spacing w:before="100" w:after="40"/>
      </w:pPr>
      <w:r>
        <w:rPr>
          <w:b/>
          <w:color w:val="1A365D"/>
          <w:sz w:val="21"/>
        </w:rPr>
        <w:t>3.1  Total Contract Price (VAT Inclusive)</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F5F7FA"/>
          </w:tcPr>
          <w:p>
            <w:pPr>
              <w:spacing w:before="40" w:after="40"/>
            </w:pPr>
            <w:r>
              <w:rPr>
                <w:b/>
                <w:color w:val="1A365D"/>
                <w:sz w:val="19"/>
              </w:rPr>
              <w:t>Total Contract Price (VAT incl. 19%)</w:t>
            </w:r>
          </w:p>
        </w:tc>
        <w:tc>
          <w:tcPr>
            <w:tcW w:type="dxa" w:w="4320"/>
          </w:tcPr>
          <w:p>
            <w:pPr>
              <w:spacing w:before="40" w:after="40"/>
            </w:pPr>
            <w:r>
              <w:rPr>
                <w:color w:val="000000"/>
                <w:sz w:val="19"/>
              </w:rPr>
              <w:t>€ [Price]</w:t>
            </w:r>
          </w:p>
        </w:tc>
      </w:tr>
      <w:tr>
        <w:tc>
          <w:tcPr>
            <w:tcW w:type="dxa" w:w="5040"/>
            <w:shd w:val="clear" w:color="auto" w:fill="F5F7FA"/>
          </w:tcPr>
          <w:p>
            <w:pPr>
              <w:spacing w:before="40" w:after="40"/>
            </w:pPr>
            <w:r>
              <w:rPr>
                <w:b/>
                <w:color w:val="1A365D"/>
                <w:sz w:val="19"/>
              </w:rPr>
              <w:t>Net Amount (excl. VAT)</w:t>
            </w:r>
          </w:p>
        </w:tc>
        <w:tc>
          <w:tcPr>
            <w:tcW w:type="dxa" w:w="4320"/>
          </w:tcPr>
          <w:p>
            <w:pPr>
              <w:spacing w:before="40" w:after="40"/>
            </w:pPr>
            <w:r>
              <w:rPr>
                <w:color w:val="000000"/>
                <w:sz w:val="19"/>
              </w:rPr>
              <w:t>€ [Price]</w:t>
            </w:r>
          </w:p>
        </w:tc>
      </w:tr>
      <w:tr>
        <w:tc>
          <w:tcPr>
            <w:tcW w:type="dxa" w:w="5040"/>
            <w:shd w:val="clear" w:color="auto" w:fill="F5F7FA"/>
          </w:tcPr>
          <w:p>
            <w:pPr>
              <w:spacing w:before="40" w:after="40"/>
            </w:pPr>
            <w:r>
              <w:rPr>
                <w:b/>
                <w:color w:val="1A365D"/>
                <w:sz w:val="19"/>
              </w:rPr>
              <w:t>VAT (19%)</w:t>
            </w:r>
          </w:p>
        </w:tc>
        <w:tc>
          <w:tcPr>
            <w:tcW w:type="dxa" w:w="4320"/>
          </w:tcPr>
          <w:p>
            <w:pPr>
              <w:spacing w:before="40" w:after="40"/>
            </w:pPr>
            <w:r>
              <w:rPr>
                <w:color w:val="000000"/>
                <w:sz w:val="19"/>
              </w:rPr>
              <w:t>€ [Price]</w:t>
            </w:r>
          </w:p>
        </w:tc>
      </w:tr>
    </w:tbl>
    <w:p/>
    <w:p>
      <w:pPr>
        <w:spacing w:before="100" w:after="40"/>
      </w:pPr>
      <w:r>
        <w:rPr>
          <w:b/>
          <w:color w:val="1A365D"/>
          <w:sz w:val="21"/>
        </w:rPr>
        <w:t>3.2  Payment Schedule</w:t>
      </w:r>
    </w:p>
    <w:p>
      <w:pPr>
        <w:ind w:left="0"/>
        <w:spacing w:before="0" w:after="50"/>
      </w:pPr>
      <w:r>
        <w:rPr>
          <w:color w:val="000000"/>
          <w:sz w:val="20"/>
        </w:rPr>
        <w:t>Payments shall be made by bank transfer to the Contractor's account. No works shall commence or materials ordered until the Deposit (Instalment 1) is received. All amounts are VAT-inclusive.</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1A365D"/>
          </w:tcPr>
          <w:p>
            <w:pPr>
              <w:jc w:val="center"/>
              <w:spacing w:before="40" w:after="40"/>
            </w:pPr>
            <w:r>
              <w:rPr>
                <w:b/>
                <w:color w:val="FFFFFF"/>
                <w:sz w:val="19"/>
              </w:rPr>
              <w:t>Instalment</w:t>
            </w:r>
          </w:p>
        </w:tc>
        <w:tc>
          <w:tcPr>
            <w:tcW w:type="dxa" w:w="5760"/>
            <w:shd w:val="clear" w:color="auto" w:fill="1A365D"/>
          </w:tcPr>
          <w:p>
            <w:pPr>
              <w:jc w:val="center"/>
              <w:spacing w:before="40" w:after="40"/>
            </w:pPr>
            <w:r>
              <w:rPr>
                <w:b/>
                <w:color w:val="FFFFFF"/>
                <w:sz w:val="19"/>
              </w:rPr>
              <w:t>Trigger / Milestone</w:t>
            </w:r>
          </w:p>
        </w:tc>
        <w:tc>
          <w:tcPr>
            <w:tcW w:type="dxa" w:w="1584"/>
            <w:shd w:val="clear" w:color="auto" w:fill="1A365D"/>
          </w:tcPr>
          <w:p>
            <w:pPr>
              <w:jc w:val="center"/>
              <w:spacing w:before="40" w:after="40"/>
            </w:pPr>
            <w:r>
              <w:rPr>
                <w:b/>
                <w:color w:val="FFFFFF"/>
                <w:sz w:val="19"/>
              </w:rPr>
              <w:t>Amount</w:t>
            </w:r>
          </w:p>
        </w:tc>
      </w:tr>
      <w:tr>
        <w:tc>
          <w:tcPr>
            <w:tcW w:type="dxa" w:w="2016"/>
          </w:tcPr>
          <w:p>
            <w:pPr>
              <w:spacing w:before="40" w:after="40"/>
            </w:pPr>
            <w:r>
              <w:rPr>
                <w:b/>
                <w:color w:val="1A365D"/>
                <w:sz w:val="19"/>
              </w:rPr>
              <w:t>#1 — Deposit (40%)</w:t>
            </w:r>
          </w:p>
        </w:tc>
        <w:tc>
          <w:tcPr>
            <w:tcW w:type="dxa" w:w="5760"/>
          </w:tcPr>
          <w:p>
            <w:pPr>
              <w:spacing w:before="40" w:after="40"/>
            </w:pPr>
            <w:r>
              <w:rPr>
                <w:b w:val="0"/>
                <w:color w:val="000000"/>
                <w:sz w:val="19"/>
              </w:rPr>
              <w:t>Due upon contract signing</w:t>
            </w:r>
          </w:p>
        </w:tc>
        <w:tc>
          <w:tcPr>
            <w:tcW w:type="dxa" w:w="1584"/>
          </w:tcPr>
          <w:p>
            <w:pPr>
              <w:jc w:val="center"/>
              <w:spacing w:before="40" w:after="40"/>
            </w:pPr>
            <w:r>
              <w:rPr>
                <w:b/>
                <w:color w:val="1A365D"/>
                <w:sz w:val="19"/>
              </w:rPr>
              <w:t>40%</w:t>
            </w:r>
          </w:p>
        </w:tc>
      </w:tr>
      <w:tr>
        <w:tc>
          <w:tcPr>
            <w:tcW w:type="dxa" w:w="2016"/>
          </w:tcPr>
          <w:p>
            <w:pPr>
              <w:spacing w:before="40" w:after="40"/>
            </w:pPr>
            <w:r>
              <w:rPr>
                <w:b/>
                <w:color w:val="1A365D"/>
                <w:sz w:val="19"/>
              </w:rPr>
              <w:t>#2 — Pre-Installation (55%)</w:t>
            </w:r>
          </w:p>
        </w:tc>
        <w:tc>
          <w:tcPr>
            <w:tcW w:type="dxa" w:w="5760"/>
          </w:tcPr>
          <w:p>
            <w:pPr>
              <w:spacing w:before="40" w:after="40"/>
            </w:pPr>
            <w:r>
              <w:rPr>
                <w:b w:val="0"/>
                <w:color w:val="000000"/>
                <w:sz w:val="19"/>
              </w:rPr>
              <w:t>Due 3 days before installation date.</w:t>
              <w:br/>
              <w:t>The Contractor shall provide equipment model, serial numbers, and delivery confirmation before this payment falls due.</w:t>
            </w:r>
          </w:p>
        </w:tc>
        <w:tc>
          <w:tcPr>
            <w:tcW w:type="dxa" w:w="1584"/>
          </w:tcPr>
          <w:p>
            <w:pPr>
              <w:jc w:val="center"/>
              <w:spacing w:before="40" w:after="40"/>
            </w:pPr>
            <w:r>
              <w:rPr>
                <w:b/>
                <w:color w:val="1A365D"/>
                <w:sz w:val="19"/>
              </w:rPr>
              <w:t>55%</w:t>
            </w:r>
          </w:p>
        </w:tc>
      </w:tr>
      <w:tr>
        <w:tc>
          <w:tcPr>
            <w:tcW w:type="dxa" w:w="2016"/>
          </w:tcPr>
          <w:p>
            <w:pPr>
              <w:spacing w:before="40" w:after="40"/>
            </w:pPr>
            <w:r>
              <w:rPr>
                <w:b/>
                <w:color w:val="1A365D"/>
                <w:sz w:val="19"/>
              </w:rPr>
              <w:t>#3 — Final (5%)</w:t>
            </w:r>
          </w:p>
        </w:tc>
        <w:tc>
          <w:tcPr>
            <w:tcW w:type="dxa" w:w="5760"/>
          </w:tcPr>
          <w:p>
            <w:pPr>
              <w:spacing w:before="40" w:after="40"/>
            </w:pPr>
            <w:r>
              <w:rPr>
                <w:b w:val="0"/>
                <w:color w:val="000000"/>
                <w:sz w:val="19"/>
              </w:rPr>
              <w:t>Due upon EAC grid connection approval (PAC)</w:t>
            </w:r>
          </w:p>
        </w:tc>
        <w:tc>
          <w:tcPr>
            <w:tcW w:type="dxa" w:w="1584"/>
          </w:tcPr>
          <w:p>
            <w:pPr>
              <w:jc w:val="center"/>
              <w:spacing w:before="40" w:after="40"/>
            </w:pPr>
            <w:r>
              <w:rPr>
                <w:b/>
                <w:color w:val="1A365D"/>
                <w:sz w:val="19"/>
              </w:rPr>
              <w:t>5%</w:t>
            </w:r>
          </w:p>
        </w:tc>
      </w:tr>
    </w:tbl>
    <w:p/>
    <w:p>
      <w:pPr>
        <w:spacing w:before="100" w:after="40"/>
      </w:pPr>
      <w:r>
        <w:rPr>
          <w:b/>
          <w:color w:val="1A365D"/>
          <w:sz w:val="21"/>
        </w:rPr>
        <w:t>3.2.1  Late Payment Interest</w:t>
      </w:r>
    </w:p>
    <w:p>
      <w:pPr>
        <w:ind w:left="0"/>
        <w:spacing w:before="0" w:after="50"/>
      </w:pPr>
      <w:r>
        <w:rPr>
          <w:color w:val="000000"/>
          <w:sz w:val="20"/>
        </w:rPr>
        <w:t>If the Client fails to make any payment when due, interest shall accrue on the overdue amount from the due date until the date of actual payment at the rate prescribed by EU Directive 2011/7/EU on combating late payment in commercial transactions — being the European Central Bank main refinancing rate plus eight percentage points (8%) per annum, calculated on a simple interest basis. The Contractor may also suspend works upon seven (7) days' written notice of non-payment.</w:t>
      </w:r>
    </w:p>
    <w:p>
      <w:pPr>
        <w:spacing w:before="100" w:after="40"/>
      </w:pPr>
      <w:r>
        <w:rPr>
          <w:b/>
          <w:color w:val="1A365D"/>
          <w:sz w:val="21"/>
        </w:rPr>
        <w:t>3.2.2  Separate EAC/DSO Application Fee</w:t>
      </w:r>
    </w:p>
    <w:tbl>
      <w:tblPr>
        <w:tblW w:type="auto" w:w="0"/>
        <w:jc w:val="left"/>
        <w:tblLook w:firstColumn="1" w:firstRow="1" w:lastColumn="0" w:lastRow="0" w:noHBand="0" w:noVBand="1" w:val="04A0"/>
      </w:tblPr>
      <w:tblGrid>
        <w:gridCol w:w="9406"/>
      </w:tblGrid>
      <w:tr>
        <w:tc>
          <w:tcPr>
            <w:tcW w:type="dxa" w:w="9360"/>
            <w:shd w:val="clear" w:color="auto" w:fill="FFF8E1"/>
            <w:tcBorders>
              <w:top w:val="single" w:sz="12" w:color="C9A432"/>
              <w:bottom w:val="single" w:sz="12" w:color="C9A432"/>
              <w:left w:val="single" w:sz="12" w:color="C9A432"/>
              <w:right w:val="single" w:sz="12" w:color="C9A432"/>
            </w:tcBorders>
          </w:tcPr>
          <w:p>
            <w:pPr>
              <w:spacing w:before="60" w:after="60"/>
            </w:pPr>
            <w:r>
              <w:rPr>
                <w:color w:val="000000"/>
                <w:sz w:val="19"/>
              </w:rPr>
              <w:t>Not included in the Contract Price: The EAC/DSO one-time connection application fee (covering DSO processing, inspection, system connection to the distribution network, and ripple control connection) is payable directly by the Client to EAC upon issuance of connection terms. The current fee is approximately €365 + VAT 19% = €434.35. This fee is set by EAC/CERA and may change without notice.</w:t>
            </w:r>
          </w:p>
        </w:tc>
      </w:tr>
    </w:tbl>
    <w:p/>
    <w:p>
      <w:pPr>
        <w:spacing w:before="100" w:after="40"/>
      </w:pPr>
      <w:r>
        <w:rPr>
          <w:b/>
          <w:color w:val="1A365D"/>
          <w:sz w:val="21"/>
        </w:rPr>
        <w:t>3.3  Government Subsidies</w:t>
      </w:r>
    </w:p>
    <w:p>
      <w:pPr>
        <w:ind w:left="0"/>
        <w:spacing w:before="0" w:after="50"/>
      </w:pPr>
      <w:r>
        <w:rPr>
          <w:color w:val="000000"/>
          <w:sz w:val="20"/>
        </w:rPr>
        <w:t>The Contractor shall provide reasonable assistance to the Client in applying for government subsidy schemes available at the time of application, including preparation of required technical documentation. The Contractor's assistance is limited to document preparation and submission support; the Contractor makes no warranty that any subsidy will be approved, that subsidy schemes will remain available, or that the Client will qualify. Subsidies are paid directly to the Client by the relevant authority and are not deducted from the Contract Price.</w:t>
      </w:r>
    </w:p>
    <w:p>
      <w:pPr>
        <w:pBdr>
          <w:bottom w:val="single" w:sz="6" w:color="1A365D"/>
        </w:pBdr>
        <w:spacing w:before="160" w:after="60"/>
      </w:pPr>
      <w:r>
        <w:rPr>
          <w:b/>
          <w:color w:val="C9A432"/>
          <w:sz w:val="26"/>
        </w:rPr>
        <w:t>4.  WARRANTIES AND GUARANTEES</w:t>
      </w:r>
    </w:p>
    <w:p>
      <w:pPr>
        <w:spacing w:before="100" w:after="40"/>
      </w:pPr>
      <w:r>
        <w:rPr>
          <w:b/>
          <w:color w:val="1A365D"/>
          <w:sz w:val="21"/>
        </w:rPr>
        <w:t>4.1  Warranty Summary</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A365D"/>
          </w:tcPr>
          <w:p>
            <w:pPr>
              <w:spacing w:before="40" w:after="40"/>
            </w:pPr>
            <w:r>
              <w:rPr>
                <w:b/>
                <w:color w:val="FFFFFF"/>
                <w:sz w:val="19"/>
              </w:rPr>
              <w:t>Item</w:t>
            </w:r>
          </w:p>
        </w:tc>
        <w:tc>
          <w:tcPr>
            <w:tcW w:type="dxa" w:w="4032"/>
            <w:shd w:val="clear" w:color="auto" w:fill="1A365D"/>
          </w:tcPr>
          <w:p>
            <w:pPr>
              <w:spacing w:before="40" w:after="40"/>
            </w:pPr>
            <w:r>
              <w:rPr>
                <w:b/>
                <w:color w:val="FFFFFF"/>
                <w:sz w:val="19"/>
              </w:rPr>
              <w:t>Minimum Coverage</w:t>
            </w:r>
          </w:p>
        </w:tc>
        <w:tc>
          <w:tcPr>
            <w:tcW w:type="dxa" w:w="3024"/>
            <w:shd w:val="clear" w:color="auto" w:fill="1A365D"/>
          </w:tcPr>
          <w:p>
            <w:pPr>
              <w:spacing w:before="40" w:after="40"/>
            </w:pPr>
            <w:r>
              <w:rPr>
                <w:b/>
                <w:color w:val="FFFFFF"/>
                <w:sz w:val="19"/>
              </w:rPr>
              <w:t>Basis</w:t>
            </w:r>
          </w:p>
        </w:tc>
      </w:tr>
      <w:tr>
        <w:tc>
          <w:tcPr>
            <w:tcW w:type="dxa" w:w="2304"/>
          </w:tcPr>
          <w:p>
            <w:pPr>
              <w:spacing w:before="40" w:after="40"/>
            </w:pPr>
            <w:r>
              <w:rPr>
                <w:b/>
                <w:color w:val="1A365D"/>
                <w:sz w:val="19"/>
              </w:rPr>
              <w:t>Workmanship</w:t>
            </w:r>
          </w:p>
        </w:tc>
        <w:tc>
          <w:tcPr>
            <w:tcW w:type="dxa" w:w="4032"/>
          </w:tcPr>
          <w:p>
            <w:pPr>
              <w:spacing w:before="40" w:after="40"/>
            </w:pPr>
            <w:r>
              <w:rPr>
                <w:color w:val="000000"/>
                <w:sz w:val="19"/>
              </w:rPr>
              <w:t>2 years from commissioning date</w:t>
            </w:r>
          </w:p>
        </w:tc>
        <w:tc>
          <w:tcPr>
            <w:tcW w:type="dxa" w:w="3024"/>
          </w:tcPr>
          <w:p>
            <w:pPr>
              <w:spacing w:before="40" w:after="40"/>
            </w:pPr>
            <w:r>
              <w:rPr>
                <w:color w:val="000000"/>
                <w:sz w:val="19"/>
              </w:rPr>
              <w:t>Contractual (minimum legal standard)</w:t>
            </w:r>
          </w:p>
        </w:tc>
      </w:tr>
      <w:tr>
        <w:tc>
          <w:tcPr>
            <w:tcW w:type="dxa" w:w="2304"/>
          </w:tcPr>
          <w:p>
            <w:pPr>
              <w:spacing w:before="40" w:after="40"/>
            </w:pPr>
            <w:r>
              <w:rPr>
                <w:b/>
                <w:color w:val="1A365D"/>
                <w:sz w:val="19"/>
              </w:rPr>
              <w:t>PV Modules — product defect</w:t>
            </w:r>
          </w:p>
        </w:tc>
        <w:tc>
          <w:tcPr>
            <w:tcW w:type="dxa" w:w="4032"/>
          </w:tcPr>
          <w:p>
            <w:pPr>
              <w:spacing w:before="40" w:after="40"/>
            </w:pPr>
            <w:r>
              <w:rPr>
                <w:color w:val="000000"/>
                <w:sz w:val="19"/>
              </w:rPr>
              <w:t>As per OEM warranty — [input]</w:t>
            </w:r>
          </w:p>
        </w:tc>
        <w:tc>
          <w:tcPr>
            <w:tcW w:type="dxa" w:w="3024"/>
          </w:tcPr>
          <w:p>
            <w:pPr>
              <w:spacing w:before="40" w:after="40"/>
            </w:pPr>
            <w:r>
              <w:rPr>
                <w:color w:val="000000"/>
                <w:sz w:val="19"/>
              </w:rPr>
              <w:t>OEM manufacturer warranty</w:t>
            </w:r>
          </w:p>
        </w:tc>
      </w:tr>
      <w:tr>
        <w:tc>
          <w:tcPr>
            <w:tcW w:type="dxa" w:w="2304"/>
          </w:tcPr>
          <w:p>
            <w:pPr>
              <w:spacing w:before="40" w:after="40"/>
            </w:pPr>
            <w:r>
              <w:rPr>
                <w:b/>
                <w:color w:val="1A365D"/>
                <w:sz w:val="19"/>
              </w:rPr>
              <w:t>PV Modules — power output</w:t>
            </w:r>
          </w:p>
        </w:tc>
        <w:tc>
          <w:tcPr>
            <w:tcW w:type="dxa" w:w="4032"/>
          </w:tcPr>
          <w:p>
            <w:pPr>
              <w:spacing w:before="40" w:after="40"/>
            </w:pPr>
            <w:r>
              <w:rPr>
                <w:color w:val="000000"/>
                <w:sz w:val="19"/>
              </w:rPr>
              <w:t>As per OEM performance warranty — [input]</w:t>
            </w:r>
          </w:p>
        </w:tc>
        <w:tc>
          <w:tcPr>
            <w:tcW w:type="dxa" w:w="3024"/>
          </w:tcPr>
          <w:p>
            <w:pPr>
              <w:spacing w:before="40" w:after="40"/>
            </w:pPr>
            <w:r>
              <w:rPr>
                <w:color w:val="000000"/>
                <w:sz w:val="19"/>
              </w:rPr>
              <w:t>OEM manufacturer warranty</w:t>
            </w:r>
          </w:p>
        </w:tc>
      </w:tr>
      <w:tr>
        <w:tc>
          <w:tcPr>
            <w:tcW w:type="dxa" w:w="2304"/>
          </w:tcPr>
          <w:p>
            <w:pPr>
              <w:spacing w:before="40" w:after="40"/>
            </w:pPr>
            <w:r>
              <w:rPr>
                <w:b/>
                <w:color w:val="1A365D"/>
                <w:sz w:val="19"/>
              </w:rPr>
              <w:t>Inverter</w:t>
            </w:r>
          </w:p>
        </w:tc>
        <w:tc>
          <w:tcPr>
            <w:tcW w:type="dxa" w:w="4032"/>
          </w:tcPr>
          <w:p>
            <w:pPr>
              <w:spacing w:before="40" w:after="40"/>
            </w:pPr>
            <w:r>
              <w:rPr>
                <w:color w:val="000000"/>
                <w:sz w:val="19"/>
              </w:rPr>
              <w:t>As per OEM warranty — [input]</w:t>
            </w:r>
          </w:p>
        </w:tc>
        <w:tc>
          <w:tcPr>
            <w:tcW w:type="dxa" w:w="3024"/>
          </w:tcPr>
          <w:p>
            <w:pPr>
              <w:spacing w:before="40" w:after="40"/>
            </w:pPr>
            <w:r>
              <w:rPr>
                <w:color w:val="000000"/>
                <w:sz w:val="19"/>
              </w:rPr>
              <w:t>OEM manufacturer warranty</w:t>
            </w:r>
          </w:p>
        </w:tc>
      </w:tr>
      <w:tr>
        <w:tc>
          <w:tcPr>
            <w:tcW w:type="dxa" w:w="2304"/>
          </w:tcPr>
          <w:p>
            <w:pPr>
              <w:spacing w:before="40" w:after="40"/>
            </w:pPr>
            <w:r>
              <w:rPr>
                <w:b/>
                <w:color w:val="1A365D"/>
                <w:sz w:val="19"/>
              </w:rPr>
              <w:t>Battery Modules</w:t>
            </w:r>
          </w:p>
        </w:tc>
        <w:tc>
          <w:tcPr>
            <w:tcW w:type="dxa" w:w="4032"/>
          </w:tcPr>
          <w:p>
            <w:pPr>
              <w:spacing w:before="40" w:after="40"/>
            </w:pPr>
            <w:r>
              <w:rPr>
                <w:color w:val="000000"/>
                <w:sz w:val="19"/>
              </w:rPr>
              <w:t>As per OEM warranty — [input]</w:t>
            </w:r>
          </w:p>
        </w:tc>
        <w:tc>
          <w:tcPr>
            <w:tcW w:type="dxa" w:w="3024"/>
          </w:tcPr>
          <w:p>
            <w:pPr>
              <w:spacing w:before="40" w:after="40"/>
            </w:pPr>
            <w:r>
              <w:rPr>
                <w:color w:val="000000"/>
                <w:sz w:val="19"/>
              </w:rPr>
              <w:t>OEM manufacturer warranty</w:t>
            </w:r>
          </w:p>
        </w:tc>
      </w:tr>
      <w:tr>
        <w:tc>
          <w:tcPr>
            <w:tcW w:type="dxa" w:w="2304"/>
          </w:tcPr>
          <w:p>
            <w:pPr>
              <w:spacing w:before="40" w:after="40"/>
            </w:pPr>
            <w:r>
              <w:rPr>
                <w:b/>
                <w:color w:val="1A365D"/>
                <w:sz w:val="19"/>
              </w:rPr>
              <w:t>Goods (all equipment)</w:t>
            </w:r>
          </w:p>
        </w:tc>
        <w:tc>
          <w:tcPr>
            <w:tcW w:type="dxa" w:w="4032"/>
          </w:tcPr>
          <w:p>
            <w:pPr>
              <w:spacing w:before="40" w:after="40"/>
            </w:pPr>
            <w:r>
              <w:rPr>
                <w:color w:val="000000"/>
                <w:sz w:val="19"/>
              </w:rPr>
              <w:t>2 years from delivery (minimum)</w:t>
            </w:r>
          </w:p>
        </w:tc>
        <w:tc>
          <w:tcPr>
            <w:tcW w:type="dxa" w:w="3024"/>
          </w:tcPr>
          <w:p>
            <w:pPr>
              <w:spacing w:before="40" w:after="40"/>
            </w:pPr>
            <w:r>
              <w:rPr>
                <w:color w:val="000000"/>
                <w:sz w:val="19"/>
              </w:rPr>
              <w:t>Cyprus Law 154(I)/2021</w:t>
            </w:r>
          </w:p>
        </w:tc>
      </w:tr>
    </w:tbl>
    <w:p/>
    <w:p>
      <w:pPr>
        <w:spacing w:before="100" w:after="40"/>
      </w:pPr>
      <w:r>
        <w:rPr>
          <w:b/>
          <w:color w:val="1A365D"/>
          <w:sz w:val="21"/>
        </w:rPr>
        <w:t>4.2  Statutory Legal Guarantee (Cyprus Law 154(I)/2021)</w:t>
      </w:r>
    </w:p>
    <w:p>
      <w:pPr>
        <w:ind w:left="0"/>
        <w:spacing w:before="0" w:after="50"/>
      </w:pPr>
      <w:r>
        <w:rPr>
          <w:color w:val="000000"/>
          <w:sz w:val="20"/>
        </w:rPr>
        <w:t>In accordance with Cyprus Law 154(I)/2021 implementing EU Directive 2019/771 on the sale of goods, the Client is entitled to a minimum two-year legal guarantee from the date of delivery of each item of equipment, covering any lack of conformity. This statutory guarantee is in addition to any commercial warranty provided by the OEM and cannot be excluded or reduced by contract. If any equipment is found to be non-conforming within two years of delivery, the Client may require repair, replacement, a price reduction, or rescission of the contract, subject to the conditions set out in the Law.</w:t>
      </w:r>
    </w:p>
    <w:p>
      <w:pPr>
        <w:spacing w:before="100" w:after="40"/>
      </w:pPr>
      <w:r>
        <w:rPr>
          <w:b/>
          <w:color w:val="1A365D"/>
          <w:sz w:val="21"/>
        </w:rPr>
        <w:t>4.3  Workmanship Warranty</w:t>
      </w:r>
    </w:p>
    <w:p>
      <w:pPr>
        <w:ind w:left="0"/>
        <w:spacing w:before="0" w:after="50"/>
      </w:pPr>
      <w:r>
        <w:rPr>
          <w:color w:val="000000"/>
          <w:sz w:val="20"/>
        </w:rPr>
        <w:t>The Contractor warrants all installation workmanship for a period of two (2) years from the commissioning date. This covers defects directly attributable to the quality of installation performed by the Contractor's personnel. During the warranty period, the Contractor shall remedy any covered defect within a reasonable time following written notice from the Client, at no additional cost.</w:t>
      </w:r>
    </w:p>
    <w:p>
      <w:pPr>
        <w:spacing w:before="100" w:after="40"/>
      </w:pPr>
      <w:r>
        <w:rPr>
          <w:b/>
          <w:color w:val="1A365D"/>
          <w:sz w:val="21"/>
        </w:rPr>
        <w:t>4.4  Warranty Conditions and Exclusions</w:t>
      </w:r>
    </w:p>
    <w:p>
      <w:pPr>
        <w:ind w:left="0"/>
        <w:spacing w:before="0" w:after="50"/>
      </w:pPr>
      <w:r>
        <w:rPr>
          <w:color w:val="000000"/>
          <w:sz w:val="20"/>
        </w:rPr>
        <w:t>Warranties are void or limited if:</w:t>
      </w:r>
    </w:p>
    <w:p>
      <w:pPr>
        <w:pStyle w:val="ListBullet"/>
        <w:ind w:left="227"/>
        <w:spacing w:before="0" w:after="30"/>
      </w:pPr>
      <w:r>
        <w:rPr>
          <w:color w:val="000000"/>
          <w:sz w:val="20"/>
        </w:rPr>
        <w:t>The system is modified or repaired without the Contractor's prior written consent;</w:t>
      </w:r>
    </w:p>
    <w:p>
      <w:pPr>
        <w:pStyle w:val="ListBullet"/>
        <w:ind w:left="227"/>
        <w:spacing w:before="0" w:after="30"/>
      </w:pPr>
      <w:r>
        <w:rPr>
          <w:color w:val="000000"/>
          <w:sz w:val="20"/>
        </w:rPr>
        <w:t>Damage is caused by Client negligence or misuse;</w:t>
      </w:r>
    </w:p>
    <w:p>
      <w:pPr>
        <w:pStyle w:val="ListBullet"/>
        <w:ind w:left="227"/>
        <w:spacing w:before="0" w:after="30"/>
      </w:pPr>
      <w:r>
        <w:rPr>
          <w:color w:val="000000"/>
          <w:sz w:val="20"/>
        </w:rPr>
        <w:t>Damage is caused by acts of God, fire, flood, or other events beyond both Parties' control;</w:t>
      </w:r>
    </w:p>
    <w:p>
      <w:pPr>
        <w:pStyle w:val="ListBullet"/>
        <w:ind w:left="227"/>
        <w:spacing w:before="0" w:after="30"/>
      </w:pPr>
      <w:r>
        <w:rPr>
          <w:color w:val="000000"/>
          <w:sz w:val="20"/>
        </w:rPr>
        <w:t>The Client has failed to fulfil its payment obligations under §3.</w:t>
      </w:r>
    </w:p>
    <w:p>
      <w:pPr>
        <w:ind w:left="0"/>
        <w:spacing w:before="0" w:after="50"/>
      </w:pPr>
      <w:r>
        <w:rPr>
          <w:color w:val="000000"/>
          <w:sz w:val="20"/>
        </w:rPr>
        <w:t>Warranties do not cover routine consumables, panel soiling, shading from new structures erected after installation, or performance variations within the OEM's published tolerance range.</w:t>
      </w:r>
    </w:p>
    <w:p>
      <w:pPr>
        <w:pBdr>
          <w:bottom w:val="single" w:sz="6" w:color="1A365D"/>
        </w:pBdr>
        <w:spacing w:before="160" w:after="60"/>
      </w:pPr>
      <w:r>
        <w:rPr>
          <w:b/>
          <w:color w:val="C9A432"/>
          <w:sz w:val="26"/>
        </w:rPr>
        <w:t>5.  CLIENT OBLIGATIONS</w:t>
      </w:r>
    </w:p>
    <w:p>
      <w:pPr>
        <w:ind w:left="0"/>
        <w:spacing w:before="0" w:after="50"/>
      </w:pPr>
      <w:r>
        <w:rPr>
          <w:color w:val="000000"/>
          <w:sz w:val="20"/>
        </w:rPr>
        <w:t>The Client shall:</w:t>
      </w:r>
    </w:p>
    <w:p>
      <w:pPr>
        <w:pStyle w:val="ListBullet"/>
        <w:ind w:left="227"/>
        <w:spacing w:before="0" w:after="30"/>
      </w:pPr>
      <w:r>
        <w:rPr>
          <w:color w:val="000000"/>
          <w:sz w:val="20"/>
        </w:rPr>
        <w:t>Provide accurate electricity consumption data (last 6 bills);</w:t>
      </w:r>
    </w:p>
    <w:p>
      <w:pPr>
        <w:pStyle w:val="ListBullet"/>
        <w:ind w:left="227"/>
        <w:spacing w:before="0" w:after="30"/>
      </w:pPr>
      <w:r>
        <w:rPr>
          <w:color w:val="000000"/>
          <w:sz w:val="20"/>
        </w:rPr>
        <w:t>Ensure clear, safe, and unobstructed access to the installation site;</w:t>
      </w:r>
    </w:p>
    <w:p>
      <w:pPr>
        <w:pStyle w:val="ListBullet"/>
        <w:ind w:left="227"/>
        <w:spacing w:before="0" w:after="30"/>
      </w:pPr>
      <w:r>
        <w:rPr>
          <w:color w:val="000000"/>
          <w:sz w:val="20"/>
        </w:rPr>
        <w:t>Obtain and provide to the Contractor all necessary consents from co-owners, neighbours, landlords, or property management authorities (including any condominium owners' assembly resolution required under Cyprus Condominium Law L.6/1993). By signing this Contract, the Client warrants that all required consents have been obtained or will be obtained before installation commences;</w:t>
      </w:r>
    </w:p>
    <w:p>
      <w:pPr>
        <w:pStyle w:val="ListBullet"/>
        <w:ind w:left="227"/>
        <w:spacing w:before="0" w:after="30"/>
      </w:pPr>
      <w:r>
        <w:rPr>
          <w:color w:val="000000"/>
          <w:sz w:val="20"/>
        </w:rPr>
        <w:t>Provide all necessary documentation required for the EAC application in a timely manner;</w:t>
      </w:r>
    </w:p>
    <w:p>
      <w:pPr>
        <w:pStyle w:val="ListBullet"/>
        <w:ind w:left="227"/>
        <w:spacing w:before="0" w:after="30"/>
      </w:pPr>
      <w:r>
        <w:rPr>
          <w:color w:val="000000"/>
          <w:sz w:val="20"/>
        </w:rPr>
        <w:t>Make payments in accordance with the agreed schedule;</w:t>
      </w:r>
    </w:p>
    <w:p>
      <w:pPr>
        <w:pStyle w:val="ListBullet"/>
        <w:ind w:left="227"/>
        <w:spacing w:before="0" w:after="30"/>
      </w:pPr>
      <w:r>
        <w:rPr>
          <w:color w:val="000000"/>
          <w:sz w:val="20"/>
        </w:rPr>
        <w:t>Not modify or repair the system without the Contractor's prior written approval;</w:t>
      </w:r>
    </w:p>
    <w:p>
      <w:pPr>
        <w:pStyle w:val="ListBullet"/>
        <w:ind w:left="227"/>
        <w:spacing w:before="0" w:after="30"/>
      </w:pPr>
      <w:r>
        <w:rPr>
          <w:color w:val="000000"/>
          <w:sz w:val="20"/>
        </w:rPr>
        <w:t>Notify the Contractor of any distribution board extension requirements before installation — such works, if required, are not included in the Contract Price and will be quoted separately. Shading mitigation and inverter positioning are the Client's responsibility, with the Contractor available to advise.</w:t>
      </w:r>
    </w:p>
    <w:p>
      <w:pPr>
        <w:pBdr>
          <w:bottom w:val="single" w:sz="6" w:color="1A365D"/>
        </w:pBdr>
        <w:spacing w:before="160" w:after="60"/>
      </w:pPr>
      <w:r>
        <w:rPr>
          <w:b/>
          <w:color w:val="C9A432"/>
          <w:sz w:val="26"/>
        </w:rPr>
        <w:t>6.  CONTRACTOR OBLIGATIONS</w:t>
      </w:r>
    </w:p>
    <w:p>
      <w:pPr>
        <w:ind w:left="0"/>
        <w:spacing w:before="0" w:after="50"/>
      </w:pPr>
      <w:r>
        <w:rPr>
          <w:color w:val="000000"/>
          <w:sz w:val="20"/>
        </w:rPr>
        <w:t>The Contractor shall:</w:t>
      </w:r>
    </w:p>
    <w:p>
      <w:pPr>
        <w:pStyle w:val="ListBullet"/>
        <w:ind w:left="227"/>
        <w:spacing w:before="0" w:after="30"/>
      </w:pPr>
      <w:r>
        <w:rPr>
          <w:color w:val="000000"/>
          <w:sz w:val="20"/>
        </w:rPr>
        <w:t>Perform all work with professional competence and in accordance with applicable standards;</w:t>
      </w:r>
    </w:p>
    <w:p>
      <w:pPr>
        <w:pStyle w:val="ListBullet"/>
        <w:ind w:left="227"/>
        <w:spacing w:before="0" w:after="30"/>
      </w:pPr>
      <w:r>
        <w:rPr>
          <w:color w:val="000000"/>
          <w:sz w:val="20"/>
        </w:rPr>
        <w:t>Use only certified, high-quality equipment conforming to EU CE marking requirements;</w:t>
      </w:r>
    </w:p>
    <w:p>
      <w:pPr>
        <w:pStyle w:val="ListBullet"/>
        <w:ind w:left="227"/>
        <w:spacing w:before="0" w:after="30"/>
      </w:pPr>
      <w:r>
        <w:rPr>
          <w:color w:val="000000"/>
          <w:sz w:val="20"/>
        </w:rPr>
        <w:t>Comply with all applicable safety regulations;</w:t>
      </w:r>
    </w:p>
    <w:p>
      <w:pPr>
        <w:pStyle w:val="ListBullet"/>
        <w:ind w:left="227"/>
        <w:spacing w:before="0" w:after="30"/>
      </w:pPr>
      <w:r>
        <w:rPr>
          <w:color w:val="000000"/>
          <w:sz w:val="20"/>
        </w:rPr>
        <w:t>Obtain all necessary permits and regulatory approvals within its scope;</w:t>
      </w:r>
    </w:p>
    <w:p>
      <w:pPr>
        <w:pStyle w:val="ListBullet"/>
        <w:ind w:left="227"/>
        <w:spacing w:before="0" w:after="30"/>
      </w:pPr>
      <w:r>
        <w:rPr>
          <w:color w:val="000000"/>
          <w:sz w:val="20"/>
        </w:rPr>
        <w:t>Provide the Client with all required documentation and certificates upon commissioning;</w:t>
      </w:r>
    </w:p>
    <w:p>
      <w:pPr>
        <w:pStyle w:val="ListBullet"/>
        <w:ind w:left="227"/>
        <w:spacing w:before="0" w:after="30"/>
      </w:pPr>
      <w:r>
        <w:rPr>
          <w:color w:val="000000"/>
          <w:sz w:val="20"/>
        </w:rPr>
        <w:t>Train the Client on system operation and monitoring;</w:t>
      </w:r>
    </w:p>
    <w:p>
      <w:pPr>
        <w:pStyle w:val="ListBullet"/>
        <w:ind w:left="227"/>
        <w:spacing w:before="0" w:after="30"/>
      </w:pPr>
      <w:r>
        <w:rPr>
          <w:color w:val="000000"/>
          <w:sz w:val="20"/>
        </w:rPr>
        <w:t>Respond to warranty claims in writing within ten (10) Business Days of notification;</w:t>
      </w:r>
    </w:p>
    <w:p>
      <w:pPr>
        <w:pStyle w:val="ListBullet"/>
        <w:ind w:left="227"/>
        <w:spacing w:before="0" w:after="30"/>
      </w:pPr>
      <w:r>
        <w:rPr>
          <w:color w:val="000000"/>
          <w:sz w:val="20"/>
        </w:rPr>
        <w:t>Provide the Client with equipment serial numbers and delivery confirmation before Instalment 2 falls due.</w:t>
      </w:r>
    </w:p>
    <w:p>
      <w:pPr>
        <w:pBdr>
          <w:bottom w:val="single" w:sz="6" w:color="1A365D"/>
        </w:pBdr>
        <w:spacing w:before="160" w:after="60"/>
      </w:pPr>
      <w:r>
        <w:rPr>
          <w:b/>
          <w:color w:val="C9A432"/>
          <w:sz w:val="26"/>
        </w:rPr>
        <w:t>7.  MAINTENANCE AND SUPPORT</w:t>
      </w:r>
    </w:p>
    <w:p>
      <w:pPr>
        <w:spacing w:before="100" w:after="40"/>
      </w:pPr>
      <w:r>
        <w:rPr>
          <w:b/>
          <w:color w:val="1A365D"/>
          <w:sz w:val="21"/>
        </w:rPr>
        <w:t>7.1  Optional Maintenance Services</w:t>
      </w:r>
    </w:p>
    <w:p>
      <w:pPr>
        <w:ind w:left="0"/>
        <w:spacing w:before="0" w:after="50"/>
      </w:pPr>
      <w:r>
        <w:rPr>
          <w:color w:val="000000"/>
          <w:sz w:val="20"/>
        </w:rPr>
        <w:t>The Contractor offers optional maintenance packages, including:</w:t>
      </w:r>
    </w:p>
    <w:p>
      <w:pPr>
        <w:pStyle w:val="ListBullet"/>
        <w:ind w:left="227"/>
        <w:spacing w:before="0" w:after="30"/>
      </w:pPr>
      <w:r>
        <w:rPr>
          <w:color w:val="000000"/>
          <w:sz w:val="20"/>
        </w:rPr>
        <w:t>Annual inspection and cleaning;</w:t>
      </w:r>
    </w:p>
    <w:p>
      <w:pPr>
        <w:pStyle w:val="ListBullet"/>
        <w:ind w:left="227"/>
        <w:spacing w:before="0" w:after="30"/>
      </w:pPr>
      <w:r>
        <w:rPr>
          <w:color w:val="000000"/>
          <w:sz w:val="20"/>
        </w:rPr>
        <w:t>Performance monitoring and reporting;</w:t>
      </w:r>
    </w:p>
    <w:p>
      <w:pPr>
        <w:pStyle w:val="ListBullet"/>
        <w:ind w:left="227"/>
        <w:spacing w:before="0" w:after="30"/>
      </w:pPr>
      <w:r>
        <w:rPr>
          <w:color w:val="000000"/>
          <w:sz w:val="20"/>
        </w:rPr>
        <w:t>Priority response for service calls.</w:t>
      </w:r>
    </w:p>
    <w:p>
      <w:pPr>
        <w:ind w:left="0"/>
        <w:spacing w:before="0" w:after="50"/>
      </w:pPr>
      <w:r>
        <w:rPr>
          <w:color w:val="000000"/>
          <w:sz w:val="20"/>
        </w:rPr>
        <w:t>Maintenance packages are quoted separately and are not included in the Contract Price.</w:t>
      </w:r>
    </w:p>
    <w:p>
      <w:pPr>
        <w:spacing w:before="100" w:after="40"/>
      </w:pPr>
      <w:r>
        <w:rPr>
          <w:b/>
          <w:color w:val="1A365D"/>
          <w:sz w:val="21"/>
        </w:rPr>
        <w:t>7.2  Client Self-Maintenance</w:t>
      </w:r>
    </w:p>
    <w:p>
      <w:pPr>
        <w:ind w:left="0"/>
        <w:spacing w:before="0" w:after="50"/>
      </w:pPr>
      <w:r>
        <w:rPr>
          <w:color w:val="000000"/>
          <w:sz w:val="20"/>
        </w:rPr>
        <w:t>The Client should:</w:t>
      </w:r>
    </w:p>
    <w:p>
      <w:pPr>
        <w:pStyle w:val="ListBullet"/>
        <w:ind w:left="227"/>
        <w:spacing w:before="0" w:after="30"/>
      </w:pPr>
      <w:r>
        <w:rPr>
          <w:color w:val="000000"/>
          <w:sz w:val="20"/>
        </w:rPr>
        <w:t>Keep panels reasonably clean and free from obstruction;</w:t>
      </w:r>
    </w:p>
    <w:p>
      <w:pPr>
        <w:pStyle w:val="ListBullet"/>
        <w:ind w:left="227"/>
        <w:spacing w:before="0" w:after="30"/>
      </w:pPr>
      <w:r>
        <w:rPr>
          <w:color w:val="000000"/>
          <w:sz w:val="20"/>
        </w:rPr>
        <w:t>Monitor system performance via the installed monitoring application;</w:t>
      </w:r>
    </w:p>
    <w:p>
      <w:pPr>
        <w:pStyle w:val="ListBullet"/>
        <w:ind w:left="227"/>
        <w:spacing w:before="0" w:after="30"/>
      </w:pPr>
      <w:r>
        <w:rPr>
          <w:color w:val="000000"/>
          <w:sz w:val="20"/>
        </w:rPr>
        <w:t>Report any faults, alarms, or unusual readings promptly;</w:t>
      </w:r>
    </w:p>
    <w:p>
      <w:pPr>
        <w:pStyle w:val="ListBullet"/>
        <w:ind w:left="227"/>
        <w:spacing w:before="0" w:after="30"/>
      </w:pPr>
      <w:r>
        <w:rPr>
          <w:color w:val="000000"/>
          <w:sz w:val="20"/>
        </w:rPr>
        <w:t>Not install new structures that shade the panels.</w:t>
      </w:r>
    </w:p>
    <w:p>
      <w:pPr>
        <w:pBdr>
          <w:bottom w:val="single" w:sz="6" w:color="1A365D"/>
        </w:pBdr>
        <w:spacing w:before="160" w:after="60"/>
      </w:pPr>
      <w:r>
        <w:rPr>
          <w:b/>
          <w:color w:val="C9A432"/>
          <w:sz w:val="26"/>
        </w:rPr>
        <w:t>8.  NET BILLING TERMS</w:t>
      </w:r>
    </w:p>
    <w:p>
      <w:pPr>
        <w:spacing w:before="100" w:after="40"/>
      </w:pPr>
      <w:r>
        <w:rPr>
          <w:b/>
          <w:color w:val="1A365D"/>
          <w:sz w:val="21"/>
        </w:rPr>
        <w:t>8.1  EAC Net Billing Contract</w:t>
      </w:r>
    </w:p>
    <w:p>
      <w:pPr>
        <w:ind w:left="0"/>
        <w:spacing w:before="0" w:after="50"/>
      </w:pPr>
      <w:r>
        <w:rPr>
          <w:color w:val="000000"/>
          <w:sz w:val="20"/>
        </w:rPr>
        <w:t>Upon grid connection approval, the Client will enter into a Net Billing contract directly with EAC under the current EAC/CERA Net Billing framework applicable to the Client's supply category (Residential or Commercial).</w:t>
      </w:r>
    </w:p>
    <w:p>
      <w:pPr>
        <w:spacing w:before="100" w:after="40"/>
      </w:pPr>
      <w:r>
        <w:rPr>
          <w:b/>
          <w:color w:val="1A365D"/>
          <w:sz w:val="21"/>
        </w:rPr>
        <w:t>8.2  How Net Billing Works</w:t>
      </w:r>
    </w:p>
    <w:p>
      <w:pPr>
        <w:ind w:left="0"/>
        <w:spacing w:before="0" w:after="50"/>
      </w:pPr>
      <w:r>
        <w:rPr>
          <w:color w:val="000000"/>
          <w:sz w:val="20"/>
        </w:rPr>
        <w:t>Under the EAC Net Billing framework, electricity produced by the photovoltaic system is first consumed on-site. At the end of the two-month billing period:</w:t>
      </w:r>
    </w:p>
    <w:p>
      <w:pPr>
        <w:pStyle w:val="ListBullet"/>
        <w:ind w:left="227"/>
        <w:spacing w:before="0" w:after="30"/>
      </w:pPr>
      <w:r>
        <w:rPr>
          <w:color w:val="000000"/>
          <w:sz w:val="20"/>
        </w:rPr>
        <w:t>Electricity imported from the grid is charged at the standard retail tariff applicable to the Client's supply category;</w:t>
      </w:r>
    </w:p>
    <w:p>
      <w:pPr>
        <w:pStyle w:val="ListBullet"/>
        <w:ind w:left="227"/>
        <w:spacing w:before="0" w:after="30"/>
      </w:pPr>
      <w:r>
        <w:rPr>
          <w:color w:val="000000"/>
          <w:sz w:val="20"/>
        </w:rPr>
        <w:t>Surplus electricity exported to the grid is credited at the official Net Billing export tariff set by EAC/CERA, which is different from and generally lower than the import tariff;</w:t>
      </w:r>
    </w:p>
    <w:p>
      <w:pPr>
        <w:pStyle w:val="ListBullet"/>
        <w:ind w:left="227"/>
        <w:spacing w:before="0" w:after="30"/>
      </w:pPr>
      <w:r>
        <w:rPr>
          <w:color w:val="000000"/>
          <w:sz w:val="20"/>
        </w:rPr>
        <w:t>Export credits are applied against import charges in the Client's EAC bill;</w:t>
      </w:r>
    </w:p>
    <w:p>
      <w:pPr>
        <w:pStyle w:val="ListBullet"/>
        <w:ind w:left="227"/>
        <w:spacing w:before="0" w:after="30"/>
      </w:pPr>
      <w:r>
        <w:rPr>
          <w:color w:val="000000"/>
          <w:sz w:val="20"/>
        </w:rPr>
        <w:t>Credits are not paid out in cash unless explicitly permitted by EAC regulations in force at the time.</w:t>
      </w:r>
    </w:p>
    <w:p>
      <w:pPr>
        <w:spacing w:before="100" w:after="40"/>
      </w:pPr>
      <w:r>
        <w:rPr>
          <w:b/>
          <w:color w:val="1A365D"/>
          <w:sz w:val="21"/>
        </w:rPr>
        <w:t>8.3  EAC Fees and Tariff Changes</w:t>
      </w:r>
    </w:p>
    <w:p>
      <w:pPr>
        <w:ind w:left="0"/>
        <w:spacing w:before="0" w:after="50"/>
      </w:pPr>
      <w:r>
        <w:rPr>
          <w:color w:val="000000"/>
          <w:sz w:val="20"/>
        </w:rPr>
        <w:t>The Client shall pay all standard EAC charges applicable under Net Billing, including supply charges, network charges, ancillary service charges, and any Net Billing-specific administrative or settlement fees. EAC/CERA tariffs and fees are subject to regulatory change; the Contractor has no control over and accepts no liability for future tariff adjustments.</w:t>
      </w:r>
    </w:p>
    <w:p>
      <w:pPr>
        <w:pBdr>
          <w:bottom w:val="single" w:sz="6" w:color="1A365D"/>
        </w:pBdr>
        <w:spacing w:before="160" w:after="60"/>
      </w:pPr>
      <w:r>
        <w:rPr>
          <w:b/>
          <w:color w:val="C9A432"/>
          <w:sz w:val="26"/>
        </w:rPr>
        <w:t>9.  INSURANCE AND LIABILITY</w:t>
      </w:r>
    </w:p>
    <w:p>
      <w:pPr>
        <w:spacing w:before="100" w:after="40"/>
      </w:pPr>
      <w:r>
        <w:rPr>
          <w:b/>
          <w:color w:val="1A365D"/>
          <w:sz w:val="21"/>
        </w:rPr>
        <w:t>9.1  Contractor Insurance</w:t>
      </w:r>
    </w:p>
    <w:p>
      <w:pPr>
        <w:ind w:left="0"/>
        <w:spacing w:before="0" w:after="50"/>
      </w:pPr>
      <w:r>
        <w:rPr>
          <w:color w:val="000000"/>
          <w:sz w:val="20"/>
        </w:rPr>
        <w:t>The Contractor maintains the following insurance policies:</w:t>
      </w:r>
    </w:p>
    <w:p>
      <w:pPr>
        <w:pStyle w:val="ListBullet"/>
        <w:ind w:left="227"/>
        <w:spacing w:before="0" w:after="30"/>
      </w:pPr>
      <w:r>
        <w:rPr>
          <w:color w:val="000000"/>
          <w:sz w:val="20"/>
        </w:rPr>
        <w:t>Professional Liability (Errors &amp; Omissions) Insurance;</w:t>
      </w:r>
    </w:p>
    <w:p>
      <w:pPr>
        <w:pStyle w:val="ListBullet"/>
        <w:ind w:left="227"/>
        <w:spacing w:before="0" w:after="30"/>
      </w:pPr>
      <w:r>
        <w:rPr>
          <w:color w:val="000000"/>
          <w:sz w:val="20"/>
        </w:rPr>
        <w:t>Public / General Liability Insurance;</w:t>
      </w:r>
    </w:p>
    <w:p>
      <w:pPr>
        <w:pStyle w:val="ListBullet"/>
        <w:ind w:left="227"/>
        <w:spacing w:before="0" w:after="30"/>
      </w:pPr>
      <w:r>
        <w:rPr>
          <w:color w:val="000000"/>
          <w:sz w:val="20"/>
        </w:rPr>
        <w:t>Workers' Compensation / Employer's Liability Insurance.</w:t>
      </w:r>
    </w:p>
    <w:p>
      <w:pPr>
        <w:ind w:left="0"/>
        <w:spacing w:before="0" w:after="50"/>
      </w:pPr>
      <w:r>
        <w:rPr>
          <w:color w:val="000000"/>
          <w:sz w:val="20"/>
        </w:rPr>
        <w:t>Proof of current insurance is available upon written request.</w:t>
      </w:r>
    </w:p>
    <w:p>
      <w:pPr>
        <w:spacing w:before="100" w:after="40"/>
      </w:pPr>
      <w:r>
        <w:rPr>
          <w:b/>
          <w:color w:val="1A365D"/>
          <w:sz w:val="21"/>
        </w:rPr>
        <w:t>9.2  Limitation of Liability</w:t>
      </w:r>
    </w:p>
    <w:p>
      <w:pPr>
        <w:ind w:left="0"/>
        <w:spacing w:before="0" w:after="50"/>
      </w:pPr>
      <w:r>
        <w:rPr>
          <w:color w:val="000000"/>
          <w:sz w:val="20"/>
        </w:rPr>
        <w:t>Except for fraud, wilful misconduct, or death or personal injury caused by the Contractor's negligence, the Contractor's total aggregate liability under this Contract shall not exceed the total Contract Price paid by the Client. Neither Party shall be liable for indirect, consequential, or loss-of-profit damages, except as required by mandatory consumer protection law.</w:t>
      </w:r>
    </w:p>
    <w:p>
      <w:pPr>
        <w:spacing w:before="100" w:after="40"/>
      </w:pPr>
      <w:r>
        <w:rPr>
          <w:b/>
          <w:color w:val="1A365D"/>
          <w:sz w:val="21"/>
        </w:rPr>
        <w:t>9.3  Indemnification</w:t>
      </w:r>
    </w:p>
    <w:p>
      <w:pPr>
        <w:ind w:left="0"/>
        <w:spacing w:before="0" w:after="50"/>
      </w:pPr>
      <w:r>
        <w:rPr>
          <w:color w:val="000000"/>
          <w:sz w:val="20"/>
        </w:rPr>
        <w:t>Each Party shall indemnify the other against third-party claims arising directly from their own negligence or wilful misconduct in the performance of their respective obligations under this Contract.</w:t>
      </w:r>
    </w:p>
    <w:p>
      <w:pPr>
        <w:pBdr>
          <w:bottom w:val="single" w:sz="6" w:color="1A365D"/>
        </w:pBdr>
        <w:spacing w:before="160" w:after="60"/>
      </w:pPr>
      <w:r>
        <w:rPr>
          <w:b/>
          <w:color w:val="C9A432"/>
          <w:sz w:val="26"/>
        </w:rPr>
        <w:t>10.  RIGHT OF WITHDRAWAL AND CANCELLATION</w:t>
      </w:r>
    </w:p>
    <w:p>
      <w:pPr>
        <w:spacing w:before="100" w:after="40"/>
      </w:pPr>
      <w:r>
        <w:rPr>
          <w:b/>
          <w:color w:val="1A365D"/>
          <w:sz w:val="21"/>
        </w:rPr>
        <w:t>10.1  14-Day Right of Withdrawal (Statutory — Off-Premises Contracts)</w:t>
      </w:r>
    </w:p>
    <w:tbl>
      <w:tblPr>
        <w:tblW w:type="auto" w:w="0"/>
        <w:jc w:val="left"/>
        <w:tblLook w:firstColumn="1" w:firstRow="1" w:lastColumn="0" w:lastRow="0" w:noHBand="0" w:noVBand="1" w:val="04A0"/>
      </w:tblPr>
      <w:tblGrid>
        <w:gridCol w:w="9406"/>
      </w:tblGrid>
      <w:tr>
        <w:tc>
          <w:tcPr>
            <w:tcW w:type="dxa" w:w="9360"/>
            <w:shd w:val="clear" w:color="auto" w:fill="E8F4FD"/>
            <w:tcBorders>
              <w:top w:val="single" w:sz="12" w:color="1A365D"/>
              <w:bottom w:val="single" w:sz="12" w:color="1A365D"/>
              <w:left w:val="single" w:sz="12" w:color="1A365D"/>
              <w:right w:val="single" w:sz="12" w:color="1A365D"/>
            </w:tcBorders>
          </w:tcPr>
          <w:p>
            <w:pPr>
              <w:spacing w:before="60" w:after="60"/>
            </w:pPr>
            <w:r>
              <w:rPr>
                <w:color w:val="000000"/>
                <w:sz w:val="19"/>
              </w:rPr>
              <w:t>STATUTORY RIGHT: Under Cyprus Law 133(I)/2013 implementing EU Consumer Rights Directive 2011/83/EU, if this Contract is concluded at the Client's premises or any location other than the Contractor's business premises (an off-premises contract), the Client has a statutory right to withdraw from this Contract without giving any reason within FOURTEEN (14) CALENDAR DAYS from the date of signing.</w:t>
              <w:br/>
              <w:br/>
              <w:t>To exercise this right, the Client must notify the Contractor before the 14-day period expires using the Withdrawal Form in Annex A, or by any other unambiguous written statement (email to office@lighthief.com is acceptable).</w:t>
              <w:br/>
              <w:br/>
              <w:t>Effect of withdrawal: The Contractor shall refund all payments received within fourteen (14) days of receiving the withdrawal notice, subject to §10.1.1 below.</w:t>
            </w:r>
          </w:p>
        </w:tc>
      </w:tr>
    </w:tbl>
    <w:p/>
    <w:p>
      <w:pPr>
        <w:spacing w:before="100" w:after="40"/>
      </w:pPr>
      <w:r>
        <w:rPr>
          <w:b/>
          <w:color w:val="1A365D"/>
          <w:sz w:val="21"/>
        </w:rPr>
        <w:t>10.1.1  Early Start and Partial Withdrawal Refund</w:t>
      </w:r>
    </w:p>
    <w:p>
      <w:pPr>
        <w:ind w:left="0"/>
        <w:spacing w:before="0" w:after="50"/>
      </w:pPr>
      <w:r>
        <w:rPr>
          <w:color w:val="000000"/>
          <w:sz w:val="20"/>
        </w:rPr>
        <w:t>If the Client expressly requests in writing that works commence before the 14-day withdrawal period expires, and the Client subsequently exercises the withdrawal right, the Client shall pay the Contractor a proportionate amount for services actually performed up to the point of withdrawal. No cancellation fee shall apply for withdrawals within the 14-day period beyond this proportionate payment.</w:t>
      </w:r>
    </w:p>
    <w:p>
      <w:pPr>
        <w:spacing w:before="100" w:after="40"/>
      </w:pPr>
      <w:r>
        <w:rPr>
          <w:b/>
          <w:color w:val="1A365D"/>
          <w:sz w:val="21"/>
        </w:rPr>
        <w:t>10.2  Cancellation After the 14-Day Period</w:t>
      </w:r>
    </w:p>
    <w:p>
      <w:pPr>
        <w:ind w:left="0"/>
        <w:spacing w:before="0" w:after="50"/>
      </w:pPr>
      <w:r>
        <w:rPr>
          <w:color w:val="000000"/>
          <w:sz w:val="20"/>
        </w:rPr>
        <w:t>If the Client cancels this Contract after the 14-day withdrawal period has expired, the following cancellation charges apply to cover costs and losses incurred:</w:t>
      </w:r>
    </w:p>
    <w:tbl>
      <w:tblPr>
        <w:tblStyle w:val="TableGrid"/>
        <w:tblW w:type="auto" w:w="0"/>
        <w:jc w:val="left"/>
        <w:tblLook w:firstColumn="1" w:firstRow="1" w:lastColumn="0" w:lastRow="0" w:noHBand="0" w:noVBand="1" w:val="04A0"/>
      </w:tblPr>
      <w:tblGrid>
        <w:gridCol w:w="4703"/>
        <w:gridCol w:w="4703"/>
      </w:tblGrid>
      <w:tr>
        <w:tc>
          <w:tcPr>
            <w:tcW w:type="dxa" w:w="4752"/>
            <w:shd w:val="clear" w:color="auto" w:fill="1A365D"/>
          </w:tcPr>
          <w:p>
            <w:pPr>
              <w:spacing w:before="40" w:after="40"/>
            </w:pPr>
            <w:r>
              <w:rPr>
                <w:b/>
                <w:color w:val="FFFFFF"/>
                <w:sz w:val="19"/>
              </w:rPr>
              <w:t>Stage of Cancellation</w:t>
            </w:r>
          </w:p>
        </w:tc>
        <w:tc>
          <w:tcPr>
            <w:tcW w:type="dxa" w:w="4608"/>
            <w:shd w:val="clear" w:color="auto" w:fill="1A365D"/>
          </w:tcPr>
          <w:p>
            <w:pPr>
              <w:spacing w:before="40" w:after="40"/>
            </w:pPr>
            <w:r>
              <w:rPr>
                <w:b/>
                <w:color w:val="FFFFFF"/>
                <w:sz w:val="19"/>
              </w:rPr>
              <w:t>Cancellation Charge</w:t>
            </w:r>
          </w:p>
        </w:tc>
      </w:tr>
      <w:tr>
        <w:tc>
          <w:tcPr>
            <w:tcW w:type="dxa" w:w="4752"/>
            <w:shd w:val="clear" w:color="auto" w:fill="F5F7FA"/>
          </w:tcPr>
          <w:p>
            <w:pPr>
              <w:spacing w:before="40" w:after="40"/>
            </w:pPr>
            <w:r>
              <w:rPr>
                <w:b/>
                <w:color w:val="1A365D"/>
                <w:sz w:val="19"/>
              </w:rPr>
              <w:t>After 14-day period, before EAC application submitted</w:t>
            </w:r>
          </w:p>
        </w:tc>
        <w:tc>
          <w:tcPr>
            <w:tcW w:type="dxa" w:w="4608"/>
          </w:tcPr>
          <w:p>
            <w:pPr>
              <w:spacing w:before="40" w:after="40"/>
            </w:pPr>
            <w:r>
              <w:rPr>
                <w:color w:val="000000"/>
                <w:sz w:val="19"/>
              </w:rPr>
              <w:t>10% of Contract Price (administration and design costs)</w:t>
            </w:r>
          </w:p>
        </w:tc>
      </w:tr>
      <w:tr>
        <w:tc>
          <w:tcPr>
            <w:tcW w:type="dxa" w:w="4752"/>
            <w:shd w:val="clear" w:color="auto" w:fill="F5F7FA"/>
          </w:tcPr>
          <w:p>
            <w:pPr>
              <w:spacing w:before="40" w:after="40"/>
            </w:pPr>
            <w:r>
              <w:rPr>
                <w:b/>
                <w:color w:val="1A365D"/>
                <w:sz w:val="19"/>
              </w:rPr>
              <w:t>After EAC application submitted, before installation</w:t>
            </w:r>
          </w:p>
        </w:tc>
        <w:tc>
          <w:tcPr>
            <w:tcW w:type="dxa" w:w="4608"/>
          </w:tcPr>
          <w:p>
            <w:pPr>
              <w:spacing w:before="40" w:after="40"/>
            </w:pPr>
            <w:r>
              <w:rPr>
                <w:color w:val="000000"/>
                <w:sz w:val="19"/>
              </w:rPr>
              <w:t>30% of Contract Price (application, engineering, material procurement costs)</w:t>
            </w:r>
          </w:p>
        </w:tc>
      </w:tr>
      <w:tr>
        <w:tc>
          <w:tcPr>
            <w:tcW w:type="dxa" w:w="4752"/>
            <w:shd w:val="clear" w:color="auto" w:fill="F5F7FA"/>
          </w:tcPr>
          <w:p>
            <w:pPr>
              <w:spacing w:before="40" w:after="40"/>
            </w:pPr>
            <w:r>
              <w:rPr>
                <w:b/>
                <w:color w:val="1A365D"/>
                <w:sz w:val="19"/>
              </w:rPr>
              <w:t>After installation completed</w:t>
            </w:r>
          </w:p>
        </w:tc>
        <w:tc>
          <w:tcPr>
            <w:tcW w:type="dxa" w:w="4608"/>
          </w:tcPr>
          <w:p>
            <w:pPr>
              <w:spacing w:before="40" w:after="40"/>
            </w:pPr>
            <w:r>
              <w:rPr>
                <w:color w:val="000000"/>
                <w:sz w:val="19"/>
              </w:rPr>
              <w:t>No refund — full Contract Price is due</w:t>
            </w:r>
          </w:p>
        </w:tc>
      </w:tr>
    </w:tbl>
    <w:p/>
    <w:p>
      <w:pPr>
        <w:ind w:left="0"/>
        <w:spacing w:before="0" w:after="50"/>
      </w:pPr>
      <w:r>
        <w:rPr>
          <w:color w:val="000000"/>
          <w:sz w:val="20"/>
        </w:rPr>
        <w:t>These cancellation charges represent a genuine pre-estimate of the Contractor's losses at each stage and are not a penalty.</w:t>
      </w:r>
    </w:p>
    <w:p>
      <w:pPr>
        <w:spacing w:before="100" w:after="40"/>
      </w:pPr>
      <w:r>
        <w:rPr>
          <w:b/>
          <w:color w:val="1A365D"/>
          <w:sz w:val="21"/>
        </w:rPr>
        <w:t>10.3  Contractor Termination Rights</w:t>
      </w:r>
    </w:p>
    <w:p>
      <w:pPr>
        <w:ind w:left="0"/>
        <w:spacing w:before="0" w:after="50"/>
      </w:pPr>
      <w:r>
        <w:rPr>
          <w:color w:val="000000"/>
          <w:sz w:val="20"/>
        </w:rPr>
        <w:t>The Contractor may terminate this Contract by written notice for:</w:t>
      </w:r>
    </w:p>
    <w:p>
      <w:pPr>
        <w:pStyle w:val="ListBullet"/>
        <w:ind w:left="227"/>
        <w:spacing w:before="0" w:after="30"/>
      </w:pPr>
      <w:r>
        <w:rPr>
          <w:color w:val="000000"/>
          <w:sz w:val="20"/>
        </w:rPr>
        <w:t>Client non-payment following thirty (30) days' written notice;</w:t>
      </w:r>
    </w:p>
    <w:p>
      <w:pPr>
        <w:pStyle w:val="ListBullet"/>
        <w:ind w:left="227"/>
        <w:spacing w:before="0" w:after="30"/>
      </w:pPr>
      <w:r>
        <w:rPr>
          <w:color w:val="000000"/>
          <w:sz w:val="20"/>
        </w:rPr>
        <w:t>Material breach of Client obligations that remains unremedied after fourteen (14) days' written notice;</w:t>
      </w:r>
    </w:p>
    <w:p>
      <w:pPr>
        <w:pStyle w:val="ListBullet"/>
        <w:ind w:left="227"/>
        <w:spacing w:before="0" w:after="30"/>
      </w:pPr>
      <w:r>
        <w:rPr>
          <w:color w:val="000000"/>
          <w:sz w:val="20"/>
        </w:rPr>
        <w:t>Discovery of unsafe site conditions that cannot be resolved within a reasonable timeframe.</w:t>
      </w:r>
    </w:p>
    <w:p>
      <w:pPr>
        <w:pBdr>
          <w:bottom w:val="single" w:sz="6" w:color="1A365D"/>
        </w:pBdr>
        <w:spacing w:before="160" w:after="60"/>
      </w:pPr>
      <w:r>
        <w:rPr>
          <w:b/>
          <w:color w:val="C9A432"/>
          <w:sz w:val="26"/>
        </w:rPr>
        <w:t>11.  DISPUTE RESOLUTION</w:t>
      </w:r>
    </w:p>
    <w:p>
      <w:pPr>
        <w:spacing w:before="100" w:after="40"/>
      </w:pPr>
      <w:r>
        <w:rPr>
          <w:b/>
          <w:color w:val="1A365D"/>
          <w:sz w:val="21"/>
        </w:rPr>
        <w:t>11.1  Good-Faith Negotiation</w:t>
      </w:r>
    </w:p>
    <w:p>
      <w:pPr>
        <w:ind w:left="0"/>
        <w:spacing w:before="0" w:after="50"/>
      </w:pPr>
      <w:r>
        <w:rPr>
          <w:color w:val="000000"/>
          <w:sz w:val="20"/>
        </w:rPr>
        <w:t>The Parties shall first attempt to resolve any dispute through good-faith negotiation within thirty (30) days of one Party giving written notice of the dispute to the other.</w:t>
      </w:r>
    </w:p>
    <w:p>
      <w:pPr>
        <w:spacing w:before="100" w:after="40"/>
      </w:pPr>
      <w:r>
        <w:rPr>
          <w:b/>
          <w:color w:val="1A365D"/>
          <w:sz w:val="21"/>
        </w:rPr>
        <w:t>11.2  Mediation and Consumer Protection</w:t>
      </w:r>
    </w:p>
    <w:p>
      <w:pPr>
        <w:ind w:left="0"/>
        <w:spacing w:before="0" w:after="50"/>
      </w:pPr>
      <w:r>
        <w:rPr>
          <w:color w:val="000000"/>
          <w:sz w:val="20"/>
        </w:rPr>
        <w:t>If negotiation fails, the Parties shall, before commencing legal proceedings, attempt to resolve the dispute through mediation. The Client may also contact the following authorities for assistance at any time:</w:t>
      </w:r>
    </w:p>
    <w:p>
      <w:pPr>
        <w:pStyle w:val="ListBullet"/>
        <w:ind w:left="227"/>
        <w:spacing w:before="0" w:after="30"/>
      </w:pPr>
      <w:r>
        <w:rPr>
          <w:color w:val="000000"/>
          <w:sz w:val="20"/>
        </w:rPr>
        <w:t>Cyprus Consumer Protection Service: tel. 1429 (free consumer helpline);</w:t>
      </w:r>
    </w:p>
    <w:p>
      <w:pPr>
        <w:pStyle w:val="ListBullet"/>
        <w:ind w:left="227"/>
        <w:spacing w:before="0" w:after="30"/>
      </w:pPr>
      <w:r>
        <w:rPr>
          <w:color w:val="000000"/>
          <w:sz w:val="20"/>
        </w:rPr>
        <w:t>Cyprus Energy Regulatory Authority (CERA): +357 22 666 363;</w:t>
      </w:r>
    </w:p>
    <w:p>
      <w:pPr>
        <w:pStyle w:val="ListBullet"/>
        <w:ind w:left="227"/>
        <w:spacing w:before="0" w:after="30"/>
      </w:pPr>
      <w:r>
        <w:rPr>
          <w:color w:val="000000"/>
          <w:sz w:val="20"/>
        </w:rPr>
        <w:t>Online Dispute Resolution platform (EU ODR): https://ec.europa.eu/consumers/odr/.</w:t>
      </w:r>
    </w:p>
    <w:p>
      <w:pPr>
        <w:spacing w:before="100" w:after="40"/>
      </w:pPr>
      <w:r>
        <w:rPr>
          <w:b/>
          <w:color w:val="1A365D"/>
          <w:sz w:val="21"/>
        </w:rPr>
        <w:t>11.3  Legal Proceedings</w:t>
      </w:r>
    </w:p>
    <w:p>
      <w:pPr>
        <w:ind w:left="0"/>
        <w:spacing w:before="0" w:after="50"/>
      </w:pPr>
      <w:r>
        <w:rPr>
          <w:color w:val="000000"/>
          <w:sz w:val="20"/>
        </w:rPr>
        <w:t>Any dispute not resolved by negotiation or mediation shall be subject to the exclusive jurisdiction of the courts of the Republic of Cyprus.</w:t>
      </w:r>
    </w:p>
    <w:p>
      <w:pPr>
        <w:pBdr>
          <w:bottom w:val="single" w:sz="6" w:color="1A365D"/>
        </w:pBdr>
        <w:spacing w:before="160" w:after="60"/>
      </w:pPr>
      <w:r>
        <w:rPr>
          <w:b/>
          <w:color w:val="C9A432"/>
          <w:sz w:val="26"/>
        </w:rPr>
        <w:t>12.  DATA PROTECTION</w:t>
      </w:r>
    </w:p>
    <w:p>
      <w:pPr>
        <w:ind w:left="0"/>
        <w:spacing w:before="0" w:after="50"/>
      </w:pPr>
      <w:r>
        <w:rPr>
          <w:color w:val="000000"/>
          <w:sz w:val="20"/>
        </w:rPr>
        <w:t>The Contractor shall comply with the General Data Protection Regulation (EU) 2016/679 (GDPR) and applicable Cyprus data protection laws regarding any personal data collected in connection with this Contract. Personal data will be processed solely for the purpose of performing this Contract and will not be disclosed to third parties without the Client's consent, except as required by law. The Client may request access to, correction, or deletion of their personal data at any time by contacting office@lighthief.com.</w:t>
      </w:r>
    </w:p>
    <w:p>
      <w:pPr>
        <w:pBdr>
          <w:bottom w:val="single" w:sz="6" w:color="1A365D"/>
        </w:pBdr>
        <w:spacing w:before="160" w:after="60"/>
      </w:pPr>
      <w:r>
        <w:rPr>
          <w:b/>
          <w:color w:val="C9A432"/>
          <w:sz w:val="26"/>
        </w:rPr>
        <w:t>13.  GENERAL PROVISIONS</w:t>
      </w:r>
    </w:p>
    <w:p>
      <w:pPr>
        <w:spacing w:before="100" w:after="40"/>
      </w:pPr>
      <w:r>
        <w:rPr>
          <w:b/>
          <w:color w:val="1A365D"/>
          <w:sz w:val="21"/>
        </w:rPr>
        <w:t>13.1  Entire Agreement</w:t>
      </w:r>
    </w:p>
    <w:p>
      <w:pPr>
        <w:ind w:left="0"/>
        <w:spacing w:before="0" w:after="50"/>
      </w:pPr>
      <w:r>
        <w:rPr>
          <w:color w:val="000000"/>
          <w:sz w:val="20"/>
        </w:rPr>
        <w:t>This Contract constitutes the entire agreement between the Parties regarding its subject matter and supersedes all prior negotiations, representations, or agreements.</w:t>
      </w:r>
    </w:p>
    <w:p>
      <w:pPr>
        <w:spacing w:before="100" w:after="40"/>
      </w:pPr>
      <w:r>
        <w:rPr>
          <w:b/>
          <w:color w:val="1A365D"/>
          <w:sz w:val="21"/>
        </w:rPr>
        <w:t>13.2  Amendments</w:t>
      </w:r>
    </w:p>
    <w:p>
      <w:pPr>
        <w:ind w:left="0"/>
        <w:spacing w:before="0" w:after="50"/>
      </w:pPr>
      <w:r>
        <w:rPr>
          <w:color w:val="000000"/>
          <w:sz w:val="20"/>
        </w:rPr>
        <w:t>Any amendment must be in writing and signed by authorised representatives of both Parties.</w:t>
      </w:r>
    </w:p>
    <w:p>
      <w:pPr>
        <w:spacing w:before="100" w:after="40"/>
      </w:pPr>
      <w:r>
        <w:rPr>
          <w:b/>
          <w:color w:val="1A365D"/>
          <w:sz w:val="21"/>
        </w:rPr>
        <w:t>13.3  Governing Law</w:t>
      </w:r>
    </w:p>
    <w:p>
      <w:pPr>
        <w:ind w:left="0"/>
        <w:spacing w:before="0" w:after="50"/>
      </w:pPr>
      <w:r>
        <w:rPr>
          <w:color w:val="000000"/>
          <w:sz w:val="20"/>
        </w:rPr>
        <w:t>This Contract is governed by the laws of the Republic of Cyprus.</w:t>
      </w:r>
    </w:p>
    <w:p>
      <w:pPr>
        <w:spacing w:before="100" w:after="40"/>
      </w:pPr>
      <w:r>
        <w:rPr>
          <w:b/>
          <w:color w:val="1A365D"/>
          <w:sz w:val="21"/>
        </w:rPr>
        <w:t>13.4  Language</w:t>
      </w:r>
    </w:p>
    <w:p>
      <w:pPr>
        <w:ind w:left="0"/>
        <w:spacing w:before="0" w:after="50"/>
      </w:pPr>
      <w:r>
        <w:rPr>
          <w:color w:val="000000"/>
          <w:sz w:val="20"/>
        </w:rPr>
        <w:t>This Contract is executed in English. A Greek translation is available upon request. In the event of any inconsistency, the Greek version shall prevail for Clients domiciled in the Republic of Cyprus.</w:t>
      </w:r>
    </w:p>
    <w:p>
      <w:pPr>
        <w:spacing w:before="100" w:after="40"/>
      </w:pPr>
      <w:r>
        <w:rPr>
          <w:b/>
          <w:color w:val="1A365D"/>
          <w:sz w:val="21"/>
        </w:rPr>
        <w:t>13.5  Severability</w:t>
      </w:r>
    </w:p>
    <w:p>
      <w:pPr>
        <w:ind w:left="0"/>
        <w:spacing w:before="0" w:after="50"/>
      </w:pPr>
      <w:r>
        <w:rPr>
          <w:color w:val="000000"/>
          <w:sz w:val="20"/>
        </w:rPr>
        <w:t>If any provision is found invalid or unenforceable, the remaining provisions continue in full force and effect.</w:t>
      </w:r>
    </w:p>
    <w:p>
      <w:pPr>
        <w:spacing w:before="100" w:after="40"/>
      </w:pPr>
      <w:r>
        <w:rPr>
          <w:b/>
          <w:color w:val="1A365D"/>
          <w:sz w:val="21"/>
        </w:rPr>
        <w:t>13.6  Force Majeure</w:t>
      </w:r>
    </w:p>
    <w:p>
      <w:pPr>
        <w:ind w:left="0"/>
        <w:spacing w:before="0" w:after="50"/>
      </w:pPr>
      <w:r>
        <w:rPr>
          <w:color w:val="000000"/>
          <w:sz w:val="20"/>
        </w:rPr>
        <w:t>Neither Party shall be liable for delays or failure to perform obligations due to circumstances beyond their reasonable control, including acts of God, war, terrorism, pandemic, governmental action, or grid authority decisions, provided the affected Party gives prompt written notice and uses reasonable efforts to mitigate the impact.</w:t>
      </w:r>
    </w:p>
    <w:p>
      <w:pPr>
        <w:spacing w:before="100" w:after="40"/>
      </w:pPr>
      <w:r>
        <w:rPr>
          <w:b/>
          <w:color w:val="1A365D"/>
          <w:sz w:val="21"/>
        </w:rPr>
        <w:t>13.7  Assignment</w:t>
      </w:r>
    </w:p>
    <w:p>
      <w:pPr>
        <w:ind w:left="0"/>
        <w:spacing w:before="0" w:after="50"/>
      </w:pPr>
      <w:r>
        <w:rPr>
          <w:color w:val="000000"/>
          <w:sz w:val="20"/>
        </w:rPr>
        <w:t>Neither Party may assign this Contract without the prior written consent of the other.</w:t>
      </w:r>
    </w:p>
    <w:p>
      <w:pPr>
        <w:spacing w:before="100" w:after="40"/>
      </w:pPr>
      <w:r>
        <w:rPr>
          <w:b/>
          <w:color w:val="1A365D"/>
          <w:sz w:val="21"/>
        </w:rPr>
        <w:t>13.8  Notices</w:t>
      </w:r>
    </w:p>
    <w:p>
      <w:pPr>
        <w:ind w:left="0"/>
        <w:spacing w:before="0" w:after="50"/>
      </w:pPr>
      <w:r>
        <w:rPr>
          <w:color w:val="000000"/>
          <w:sz w:val="20"/>
        </w:rPr>
        <w:t>All formal notices under this Contract shall be in writing and sent by email (with delivery confirmation) or by registered post to the addresses in the Parties section. Email notices are deemed received on the next Business Day.</w:t>
      </w:r>
    </w:p>
    <w:p>
      <w:pPr>
        <w:pBdr>
          <w:bottom w:val="single" w:sz="6" w:color="1A365D"/>
        </w:pBdr>
        <w:spacing w:before="160" w:after="60"/>
      </w:pPr>
      <w:r>
        <w:rPr>
          <w:b/>
          <w:color w:val="C9A432"/>
          <w:sz w:val="26"/>
        </w:rPr>
        <w:t>14.  SPECIAL CONDITIONS</w:t>
      </w:r>
    </w:p>
    <w:p>
      <w:pPr>
        <w:spacing w:before="100" w:after="40"/>
      </w:pPr>
      <w:r>
        <w:rPr>
          <w:b/>
          <w:color w:val="1A365D"/>
          <w:sz w:val="21"/>
        </w:rPr>
        <w:t>14.1  Roof Tile Guarantee</w:t>
      </w:r>
    </w:p>
    <w:p>
      <w:pPr>
        <w:ind w:left="0"/>
        <w:spacing w:before="0" w:after="50"/>
      </w:pPr>
      <w:r>
        <w:rPr>
          <w:color w:val="000000"/>
          <w:sz w:val="20"/>
        </w:rPr>
        <w:t>The Contractor guarantees to replace any roof tiles broken or directly damaged during panel installation with tiles of the same style and colour. Where exactly matching tiles are no longer commercially available, the Contractor will replace with tiles of the closest available colour and grade. This guarantee covers only tiles directly damaged during installation; it does not extend to pre-existing roof membrane, waterproofing, or structural conditions.</w:t>
      </w:r>
    </w:p>
    <w:p>
      <w:pPr>
        <w:pBdr>
          <w:bottom w:val="single" w:sz="6" w:color="1A365D"/>
        </w:pBdr>
        <w:spacing w:before="160" w:after="60"/>
      </w:pPr>
      <w:r>
        <w:rPr>
          <w:b/>
          <w:color w:val="C9A432"/>
          <w:sz w:val="26"/>
        </w:rPr>
        <w:t>PAYMENT DETAILS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F5F7FA"/>
          </w:tcPr>
          <w:p>
            <w:pPr>
              <w:spacing w:before="40" w:after="40"/>
            </w:pPr>
            <w:r>
              <w:rPr>
                <w:b/>
                <w:color w:val="1A365D"/>
                <w:sz w:val="19"/>
              </w:rPr>
              <w:t>Account Name</w:t>
            </w:r>
          </w:p>
        </w:tc>
        <w:tc>
          <w:tcPr>
            <w:tcW w:type="dxa" w:w="6192"/>
          </w:tcPr>
          <w:p>
            <w:pPr>
              <w:spacing w:before="40" w:after="40"/>
            </w:pPr>
            <w:r>
              <w:rPr>
                <w:color w:val="000000"/>
                <w:sz w:val="19"/>
              </w:rPr>
              <w:t>LIGHTHIEF CYPRUS LTD</w:t>
            </w:r>
          </w:p>
        </w:tc>
      </w:tr>
      <w:tr>
        <w:tc>
          <w:tcPr>
            <w:tcW w:type="dxa" w:w="3168"/>
            <w:shd w:val="clear" w:color="auto" w:fill="F5F7FA"/>
          </w:tcPr>
          <w:p>
            <w:pPr>
              <w:spacing w:before="40" w:after="40"/>
            </w:pPr>
            <w:r>
              <w:rPr>
                <w:b/>
                <w:color w:val="1A365D"/>
                <w:sz w:val="19"/>
              </w:rPr>
              <w:t>Account Number</w:t>
            </w:r>
          </w:p>
        </w:tc>
        <w:tc>
          <w:tcPr>
            <w:tcW w:type="dxa" w:w="6192"/>
          </w:tcPr>
          <w:p>
            <w:pPr>
              <w:spacing w:before="40" w:after="40"/>
            </w:pPr>
            <w:r>
              <w:rPr>
                <w:color w:val="000000"/>
                <w:sz w:val="19"/>
              </w:rPr>
              <w:t>357044102353</w:t>
            </w:r>
          </w:p>
        </w:tc>
      </w:tr>
      <w:tr>
        <w:tc>
          <w:tcPr>
            <w:tcW w:type="dxa" w:w="3168"/>
            <w:shd w:val="clear" w:color="auto" w:fill="F5F7FA"/>
          </w:tcPr>
          <w:p>
            <w:pPr>
              <w:spacing w:before="40" w:after="40"/>
            </w:pPr>
            <w:r>
              <w:rPr>
                <w:b/>
                <w:color w:val="1A365D"/>
                <w:sz w:val="19"/>
              </w:rPr>
              <w:t>IBAN</w:t>
            </w:r>
          </w:p>
        </w:tc>
        <w:tc>
          <w:tcPr>
            <w:tcW w:type="dxa" w:w="6192"/>
          </w:tcPr>
          <w:p>
            <w:pPr>
              <w:spacing w:before="40" w:after="40"/>
            </w:pPr>
            <w:r>
              <w:rPr>
                <w:color w:val="000000"/>
                <w:sz w:val="19"/>
              </w:rPr>
              <w:t>CY86002001950000357044102353</w:t>
            </w:r>
          </w:p>
        </w:tc>
      </w:tr>
      <w:tr>
        <w:tc>
          <w:tcPr>
            <w:tcW w:type="dxa" w:w="3168"/>
            <w:shd w:val="clear" w:color="auto" w:fill="F5F7FA"/>
          </w:tcPr>
          <w:p>
            <w:pPr>
              <w:spacing w:before="40" w:after="40"/>
            </w:pPr>
            <w:r>
              <w:rPr>
                <w:b/>
                <w:color w:val="1A365D"/>
                <w:sz w:val="19"/>
              </w:rPr>
              <w:t>SWIFT/BIC</w:t>
            </w:r>
          </w:p>
        </w:tc>
        <w:tc>
          <w:tcPr>
            <w:tcW w:type="dxa" w:w="6192"/>
          </w:tcPr>
          <w:p>
            <w:pPr>
              <w:spacing w:before="40" w:after="40"/>
            </w:pPr>
            <w:r>
              <w:rPr>
                <w:color w:val="000000"/>
                <w:sz w:val="19"/>
              </w:rPr>
              <w:t>BCYPCY2N</w:t>
            </w:r>
          </w:p>
        </w:tc>
      </w:tr>
      <w:tr>
        <w:tc>
          <w:tcPr>
            <w:tcW w:type="dxa" w:w="3168"/>
            <w:shd w:val="clear" w:color="auto" w:fill="F5F7FA"/>
          </w:tcPr>
          <w:p>
            <w:pPr>
              <w:spacing w:before="40" w:after="40"/>
            </w:pPr>
            <w:r>
              <w:rPr>
                <w:b/>
                <w:color w:val="1A365D"/>
                <w:sz w:val="19"/>
              </w:rPr>
              <w:t>Bank</w:t>
            </w:r>
          </w:p>
        </w:tc>
        <w:tc>
          <w:tcPr>
            <w:tcW w:type="dxa" w:w="6192"/>
          </w:tcPr>
          <w:p>
            <w:pPr>
              <w:spacing w:before="40" w:after="40"/>
            </w:pPr>
            <w:r>
              <w:rPr>
                <w:color w:val="000000"/>
                <w:sz w:val="19"/>
              </w:rPr>
              <w:t>Bank of Cyprus</w:t>
            </w:r>
          </w:p>
        </w:tc>
      </w:tr>
    </w:tbl>
    <w:p/>
    <w:tbl>
      <w:tblPr>
        <w:tblW w:type="auto" w:w="0"/>
        <w:jc w:val="left"/>
        <w:tblLook w:firstColumn="1" w:firstRow="1" w:lastColumn="0" w:lastRow="0" w:noHBand="0" w:noVBand="1" w:val="04A0"/>
      </w:tblPr>
      <w:tblGrid>
        <w:gridCol w:w="9406"/>
      </w:tblGrid>
      <w:tr>
        <w:tc>
          <w:tcPr>
            <w:tcW w:type="dxa" w:w="9360"/>
            <w:shd w:val="clear" w:color="auto" w:fill="FFF3CD"/>
            <w:tcBorders>
              <w:top w:val="single" w:sz="12" w:color="FF8C00"/>
              <w:bottom w:val="single" w:sz="12" w:color="FF8C00"/>
              <w:left w:val="single" w:sz="12" w:color="FF8C00"/>
              <w:right w:val="single" w:sz="12" w:color="FF8C00"/>
            </w:tcBorders>
          </w:tcPr>
          <w:p>
            <w:pPr>
              <w:spacing w:before="60" w:after="60"/>
            </w:pPr>
            <w:r>
              <w:rPr>
                <w:color w:val="000000"/>
                <w:sz w:val="19"/>
              </w:rPr>
              <w:t>⚠  FRAUD PREVENTION NOTICE: Lighthief Cyprus Ltd will NEVER change bank account details by email or SMS. Before making any payment, verify the account details above are correct by calling +357 77 77 00 50. Do not transfer funds to any account other than the one above without first confirming directly with a Lighthief representative by phone.</w:t>
            </w:r>
          </w:p>
        </w:tc>
      </w:tr>
    </w:tbl>
    <w:p/>
    <w:p>
      <w:pPr>
        <w:pBdr>
          <w:bottom w:val="single" w:sz="6" w:color="1A365D"/>
        </w:pBdr>
        <w:spacing w:before="160" w:after="60"/>
      </w:pPr>
      <w:r>
        <w:rPr>
          <w:b/>
          <w:color w:val="C9A432"/>
          <w:sz w:val="26"/>
        </w:rPr>
        <w:t>SIGNATURES</w:t>
      </w:r>
    </w:p>
    <w:p>
      <w:pPr>
        <w:ind w:left="0"/>
        <w:spacing w:before="0" w:after="50"/>
      </w:pPr>
      <w:r>
        <w:rPr>
          <w:color w:val="000000"/>
          <w:sz w:val="20"/>
        </w:rPr>
        <w:t>By signing below, both Parties confirm they have read, understood, and agreed to all terms of this Contract, including the Client's right of withdrawal in §10.1.</w:t>
      </w:r>
    </w:p>
    <w:p/>
    <w:tbl>
      <w:tblPr>
        <w:tblW w:type="auto" w:w="0"/>
        <w:jc w:val="left"/>
        <w:tblLook w:firstColumn="1" w:firstRow="1" w:lastColumn="0" w:lastRow="0" w:noHBand="0" w:noVBand="1" w:val="04A0"/>
      </w:tblPr>
      <w:tblGrid>
        <w:gridCol w:w="4703"/>
        <w:gridCol w:w="4703"/>
      </w:tblGrid>
      <w:tr>
        <w:tc>
          <w:tcPr>
            <w:tcW w:type="dxa" w:w="4680"/>
          </w:tcPr>
          <w:p>
            <w:pPr>
              <w:spacing w:before="0" w:after="80"/>
            </w:pPr>
            <w:r>
              <w:rPr>
                <w:b/>
                <w:color w:val="1A365D"/>
                <w:sz w:val="19"/>
              </w:rPr>
              <w:t>FOR THE CLIENT</w:t>
            </w:r>
          </w:p>
          <w:p>
            <w:pPr>
              <w:spacing w:before="0" w:after="50"/>
            </w:pPr>
            <w:r>
              <w:rPr>
                <w:b/>
                <w:color w:val="404040"/>
                <w:sz w:val="19"/>
              </w:rPr>
              <w:t xml:space="preserve">Name:  </w:t>
            </w:r>
            <w:r>
              <w:rPr>
                <w:color w:val="000000"/>
                <w:sz w:val="19"/>
              </w:rPr>
              <w:t>[Name]</w:t>
            </w:r>
          </w:p>
          <w:p>
            <w:pPr>
              <w:spacing w:before="0" w:after="50"/>
            </w:pPr>
            <w:r>
              <w:rPr>
                <w:b/>
                <w:color w:val="404040"/>
                <w:sz w:val="19"/>
              </w:rPr>
              <w:t xml:space="preserve">Capacity:  </w:t>
            </w:r>
            <w:r>
              <w:rPr>
                <w:color w:val="000000"/>
                <w:sz w:val="19"/>
              </w:rPr>
              <w:t>[Capacity]</w:t>
            </w:r>
          </w:p>
          <w:p>
            <w:pPr>
              <w:spacing w:before="0" w:after="50"/>
            </w:pPr>
            <w:r>
              <w:rPr>
                <w:b/>
                <w:color w:val="404040"/>
                <w:sz w:val="19"/>
              </w:rPr>
              <w:t xml:space="preserve">Signature:  </w:t>
            </w:r>
            <w:r>
              <w:rPr>
                <w:color w:val="000000"/>
                <w:sz w:val="19"/>
              </w:rPr>
              <w:t>___________________________</w:t>
            </w:r>
          </w:p>
          <w:p>
            <w:pPr>
              <w:spacing w:before="0" w:after="50"/>
            </w:pPr>
            <w:r>
              <w:rPr>
                <w:b/>
                <w:color w:val="404040"/>
                <w:sz w:val="19"/>
              </w:rPr>
              <w:t xml:space="preserve">Date:  </w:t>
            </w:r>
            <w:r>
              <w:rPr>
                <w:color w:val="000000"/>
                <w:sz w:val="19"/>
              </w:rPr>
              <w:t>___________________________</w:t>
            </w:r>
          </w:p>
        </w:tc>
        <w:tc>
          <w:tcPr>
            <w:tcW w:type="dxa" w:w="4680"/>
          </w:tcPr>
          <w:p>
            <w:pPr>
              <w:spacing w:before="0" w:after="80"/>
            </w:pPr>
            <w:r>
              <w:rPr>
                <w:b/>
                <w:color w:val="1A365D"/>
                <w:sz w:val="19"/>
              </w:rPr>
              <w:t>FOR THE CONTRACTOR — LIGHTHIEF CYPRUS LTD</w:t>
            </w:r>
          </w:p>
          <w:p>
            <w:pPr>
              <w:spacing w:before="0" w:after="50"/>
            </w:pPr>
            <w:r>
              <w:rPr>
                <w:b/>
                <w:color w:val="404040"/>
                <w:sz w:val="19"/>
              </w:rPr>
              <w:t xml:space="preserve">Name:  </w:t>
            </w:r>
            <w:r>
              <w:rPr>
                <w:color w:val="000000"/>
                <w:sz w:val="19"/>
              </w:rPr>
              <w:t>Alexander Papacosta</w:t>
            </w:r>
          </w:p>
          <w:p>
            <w:pPr>
              <w:spacing w:before="0" w:after="50"/>
            </w:pPr>
            <w:r>
              <w:rPr>
                <w:b/>
                <w:color w:val="404040"/>
                <w:sz w:val="19"/>
              </w:rPr>
              <w:t xml:space="preserve">Capacity:  </w:t>
            </w:r>
            <w:r>
              <w:rPr>
                <w:color w:val="000000"/>
                <w:sz w:val="19"/>
              </w:rPr>
              <w:t>Director</w:t>
            </w:r>
          </w:p>
          <w:p>
            <w:pPr>
              <w:spacing w:before="0" w:after="50"/>
            </w:pPr>
            <w:r>
              <w:rPr>
                <w:b/>
                <w:color w:val="404040"/>
                <w:sz w:val="19"/>
              </w:rPr>
              <w:t xml:space="preserve">Signature:  </w:t>
            </w:r>
            <w:r>
              <w:rPr>
                <w:color w:val="000000"/>
                <w:sz w:val="19"/>
              </w:rPr>
              <w:t>___________________________</w:t>
            </w:r>
          </w:p>
          <w:p>
            <w:pPr>
              <w:spacing w:before="0" w:after="50"/>
            </w:pPr>
            <w:r>
              <w:rPr>
                <w:b/>
                <w:color w:val="404040"/>
                <w:sz w:val="19"/>
              </w:rPr>
              <w:t xml:space="preserve">Date:  </w:t>
            </w:r>
            <w:r>
              <w:rPr>
                <w:color w:val="000000"/>
                <w:sz w:val="19"/>
              </w:rPr>
              <w:t>___________________________</w:t>
            </w:r>
          </w:p>
        </w:tc>
      </w:tr>
    </w:tbl>
    <w:p/>
    <w:p>
      <w:r>
        <w:rPr>
          <w:i/>
          <w:color w:val="404040"/>
          <w:sz w:val="17"/>
        </w:rPr>
        <w:t>* Each Party shall retain one signed original of this Contract.</w:t>
      </w:r>
    </w:p>
    <w:p>
      <w:r>
        <w:br w:type="page"/>
      </w:r>
    </w:p>
    <w:p>
      <w:pPr>
        <w:pBdr>
          <w:bottom w:val="single" w:sz="6" w:color="1A365D"/>
        </w:pBdr>
        <w:spacing w:before="160" w:after="60"/>
      </w:pPr>
      <w:r>
        <w:rPr>
          <w:b/>
          <w:color w:val="C9A432"/>
          <w:sz w:val="26"/>
        </w:rPr>
        <w:t>IMPORTANT NOTICE TO CLIENT</w:t>
      </w:r>
    </w:p>
    <w:tbl>
      <w:tblPr>
        <w:tblW w:type="auto" w:w="0"/>
        <w:jc w:val="left"/>
        <w:tblLook w:firstColumn="1" w:firstRow="1" w:lastColumn="0" w:lastRow="0" w:noHBand="0" w:noVBand="1" w:val="04A0"/>
      </w:tblPr>
      <w:tblGrid>
        <w:gridCol w:w="9406"/>
      </w:tblGrid>
      <w:tr>
        <w:tc>
          <w:tcPr>
            <w:tcW w:type="dxa" w:w="9360"/>
            <w:shd w:val="clear" w:color="auto" w:fill="E8F4FD"/>
            <w:tcBorders>
              <w:top w:val="single" w:sz="12" w:color="1A365D"/>
              <w:bottom w:val="single" w:sz="12" w:color="1A365D"/>
              <w:left w:val="single" w:sz="12" w:color="1A365D"/>
              <w:right w:val="single" w:sz="12" w:color="1A365D"/>
            </w:tcBorders>
          </w:tcPr>
          <w:p>
            <w:pPr>
              <w:spacing w:before="60" w:after="60"/>
            </w:pPr>
            <w:r>
              <w:rPr>
                <w:color w:val="000000"/>
                <w:sz w:val="19"/>
              </w:rPr>
              <w:t>This Contract includes important terms regarding your rights and obligations.</w:t>
              <w:br/>
              <w:br/>
              <w:t>You are advised to:</w:t>
              <w:br/>
              <w:t xml:space="preserve">  •  Read all terms carefully before signing.</w:t>
              <w:br/>
              <w:t xml:space="preserve">  •  Keep a copy for your records.</w:t>
              <w:br/>
              <w:t xml:space="preserve">  •  Note your 14-day right of withdrawal (§10.1) — you may cancel this Contract without penalty within 14 days of signing if it was concluded at your premises.</w:t>
              <w:br/>
              <w:t xml:space="preserve">  •  Understand the payment schedule and your right to receive equipment details before Instalment 2 falls due.</w:t>
              <w:br/>
              <w:t xml:space="preserve">  •  Be aware of your consumer rights under Cyprus law.</w:t>
              <w:br/>
              <w:br/>
              <w:t>For more information on your consumer rights, contact:</w:t>
              <w:br/>
              <w:t xml:space="preserve">  •  Cyprus Consumer Protection Service: 1429</w:t>
              <w:br/>
              <w:t xml:space="preserve">  •  Cyprus Energy Regulatory Authority (CERA): +357 22 666 363</w:t>
              <w:br/>
              <w:t xml:space="preserve">  •  EU Online Dispute Resolution: https://ec.europa.eu/consumers/odr/</w:t>
            </w:r>
          </w:p>
        </w:tc>
      </w:tr>
    </w:tbl>
    <w:p/>
    <w:p>
      <w:r>
        <w:br w:type="page"/>
      </w:r>
    </w:p>
    <w:p>
      <w:pPr>
        <w:pBdr>
          <w:bottom w:val="single" w:sz="6" w:color="1A365D"/>
        </w:pBdr>
        <w:spacing w:before="160" w:after="60"/>
      </w:pPr>
      <w:r>
        <w:rPr>
          <w:b/>
          <w:color w:val="C9A432"/>
          <w:sz w:val="26"/>
        </w:rPr>
        <w:t>ANNEX A — STANDARD WITHDRAWAL FORM</w:t>
      </w:r>
    </w:p>
    <w:p>
      <w:pPr>
        <w:ind w:left="0"/>
        <w:spacing w:before="0" w:after="50"/>
      </w:pPr>
      <w:r>
        <w:rPr>
          <w:color w:val="000000"/>
          <w:sz w:val="20"/>
        </w:rPr>
        <w:t>(Complete and return this form only if you wish to withdraw from the Contract)</w:t>
      </w:r>
    </w:p>
    <w:tbl>
      <w:tblPr>
        <w:tblW w:type="auto" w:w="0"/>
        <w:jc w:val="left"/>
        <w:tblLook w:firstColumn="1" w:firstRow="1" w:lastColumn="0" w:lastRow="0" w:noHBand="0" w:noVBand="1" w:val="04A0"/>
      </w:tblPr>
      <w:tblGrid>
        <w:gridCol w:w="9406"/>
      </w:tblGrid>
      <w:tr>
        <w:tc>
          <w:tcPr>
            <w:tcW w:type="dxa" w:w="9360"/>
            <w:shd w:val="clear" w:color="auto" w:fill="FAFBFC"/>
            <w:tcBorders>
              <w:top w:val="single" w:sz="12" w:color="1A365D"/>
              <w:bottom w:val="single" w:sz="12" w:color="1A365D"/>
              <w:left w:val="single" w:sz="12" w:color="1A365D"/>
              <w:right w:val="single" w:sz="12" w:color="1A365D"/>
            </w:tcBorders>
          </w:tcPr>
          <w:p>
            <w:pPr>
              <w:spacing w:before="60" w:after="60"/>
            </w:pPr>
            <w:r>
              <w:rPr>
                <w:color w:val="000000"/>
                <w:sz w:val="19"/>
              </w:rPr>
              <w:t>TO: Lighthief Cyprus Ltd, 28 October Ave 249, Lophitis Business Center 1, Office 201, 3035 Limassol, Cyprus</w:t>
              <w:br/>
              <w:t>Email: office@lighthief.com</w:t>
              <w:br/>
              <w:br/>
              <w:t>I / We (*) hereby give notice that I / We (*) withdraw from my / our (*) contract for the supply and installation of the following:</w:t>
              <w:br/>
              <w:br/>
              <w:t>System address: _______________________________________________</w:t>
              <w:br/>
              <w:br/>
              <w:t>Contract date: _______________________________________________</w:t>
              <w:br/>
              <w:br/>
              <w:t>Client name(s): _______________________________________________</w:t>
              <w:br/>
              <w:br/>
              <w:t>Client address: _______________________________________________</w:t>
              <w:br/>
              <w:br/>
              <w:t>Client signature(s) (only if this form is notified on paper):</w:t>
              <w:br/>
              <w:br/>
              <w:t>_______________________________________________</w:t>
              <w:br/>
              <w:br/>
              <w:t>Date: _______________________________________________</w:t>
              <w:br/>
              <w:br/>
              <w:t>(*) Delete as appropriate.</w:t>
            </w:r>
          </w:p>
        </w:tc>
      </w:tr>
    </w:tbl>
    <w:p/>
    <w:sectPr w:rsidR="00FC693F" w:rsidRPr="0006063C" w:rsidSect="00034616">
      <w:pgSz w:w="12240" w:h="15840"/>
      <w:pgMar w:top="102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