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LCY-EMS-GAL-2026</w:t>
            </w:r>
          </w:p>
        </w:tc>
      </w:tr>
      <w:tr>
        <w:tc>
          <w:tcPr>
            <w:tcW w:type="dxa" w:w="4320"/>
          </w:tcPr>
          <w:p>
            <w:r>
              <w:t>Date:</w:t>
            </w:r>
          </w:p>
        </w:tc>
        <w:tc>
          <w:tcPr>
            <w:tcW w:type="dxa" w:w="4320"/>
          </w:tcPr>
          <w:p>
            <w:r>
              <w:t>May 2026</w:t>
            </w:r>
          </w:p>
        </w:tc>
      </w:tr>
      <w:tr>
        <w:tc>
          <w:tcPr>
            <w:tcW w:type="dxa" w:w="4320"/>
          </w:tcPr>
          <w:p>
            <w:r>
              <w:t>Version:</w:t>
            </w:r>
          </w:p>
        </w:tc>
        <w:tc>
          <w:tcPr>
            <w:tcW w:type="dxa" w:w="4320"/>
          </w:tcPr>
          <w:p>
            <w:r>
              <w:t>1.0</w:t>
            </w:r>
          </w:p>
        </w:tc>
      </w:tr>
      <w:tr>
        <w:tc>
          <w:tcPr>
            <w:tcW w:type="dxa" w:w="4320"/>
          </w:tcPr>
          <w:p>
            <w:r>
              <w:t>EPC Agreement:</w:t>
            </w:r>
          </w:p>
        </w:tc>
        <w:tc>
          <w:tcPr>
            <w:tcW w:type="dxa" w:w="4320"/>
          </w:tcPr>
          <w:p>
            <w:r>
              <w:t>LCY-EPC-GAL-B1-2026</w:t>
            </w:r>
          </w:p>
        </w:tc>
      </w:tr>
      <w:tr>
        <w:tc>
          <w:tcPr>
            <w:tcW w:type="dxa" w:w="4320"/>
          </w:tcPr>
          <w:p>
            <w:r>
              <w:t>Client:</w:t>
            </w:r>
          </w:p>
        </w:tc>
        <w:tc>
          <w:tcPr>
            <w:tcW w:type="dxa" w:w="4320"/>
          </w:tcPr>
          <w:p>
            <w:r>
              <w:t>Galascope Ltd</w:t>
            </w:r>
          </w:p>
        </w:tc>
      </w:tr>
      <w:tr>
        <w:tc>
          <w:tcPr>
            <w:tcW w:type="dxa" w:w="4320"/>
          </w:tcPr>
          <w:p>
            <w:r>
              <w:t>Service Provider:</w:t>
            </w:r>
          </w:p>
        </w:tc>
        <w:tc>
          <w:tcPr>
            <w:tcW w:type="dxa" w:w="4320"/>
          </w:tcPr>
          <w:p>
            <w:r>
              <w:t>R&amp;D Innovations Sp. z o.o. (trading as DISPERON), under Lighthief International Ltd</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r>
          </w:p>
          <w:p>
            <w:r>
              <w:t>R&amp;D Innovations Sp. z o.o.</w:t>
            </w:r>
          </w:p>
          <w:p>
            <w:r>
              <w:t>(trading as DISPERON)</w:t>
            </w:r>
          </w:p>
          <w:p>
            <w:r>
              <w:t>NIP 9492265995 · KRS [●]</w:t>
            </w:r>
          </w:p>
          <w:p>
            <w:r>
              <w:t>Registered office: [●], Poland</w:t>
            </w:r>
          </w:p>
          <w:p>
            <w:r>
              <w:t>a company under Lighthief International Ltd</w:t>
            </w:r>
          </w:p>
        </w:tc>
        <w:tc>
          <w:tcPr>
            <w:tcW w:type="dxa" w:w="4320"/>
          </w:tcPr>
          <w:p>
            <w:r>
              <w:t>Client:</w:t>
              <w:br/>
              <w:t>Galascope Ltd</w:t>
              <w:br/>
              <w:t>Karaiskaki 6, City House, 3032 Limassol,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Galascope Ltd's BESS installations under EPC Agreement LCY-EPC-GAL-B1-2026. The EMS hardware installation cost is included in the EPC Contract Price (Component B). This Addendum covers only the ongoing annual software licence, platform access, updates, and cloud services, billed separately from the EPC and LTSA.</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Galascope 1</w:t>
            </w:r>
          </w:p>
        </w:tc>
        <w:tc>
          <w:tcPr>
            <w:tcW w:type="dxa" w:w="2880"/>
          </w:tcPr>
          <w:p>
            <w:r>
              <w:t>20 MWh</w:t>
            </w:r>
          </w:p>
        </w:tc>
        <w:tc>
          <w:tcPr>
            <w:tcW w:type="dxa" w:w="2880"/>
          </w:tcPr>
          <w:p>
            <w:r>
              <w:t>EUR 8,000.00</w:t>
            </w:r>
          </w:p>
        </w:tc>
      </w:tr>
      <w:tr>
        <w:tc>
          <w:tcPr>
            <w:tcW w:type="dxa" w:w="2880"/>
          </w:tcPr>
          <w:p>
            <w:r>
              <w:t>Galascope 2</w:t>
            </w:r>
          </w:p>
        </w:tc>
        <w:tc>
          <w:tcPr>
            <w:tcW w:type="dxa" w:w="2880"/>
          </w:tcPr>
          <w:p>
            <w:r>
              <w:t>10 MWh</w:t>
            </w:r>
          </w:p>
        </w:tc>
        <w:tc>
          <w:tcPr>
            <w:tcW w:type="dxa" w:w="2880"/>
          </w:tcPr>
          <w:p>
            <w:r>
              <w:t>EUR 4,000.00</w:t>
            </w:r>
          </w:p>
        </w:tc>
      </w:tr>
      <w:tr>
        <w:tc>
          <w:tcPr>
            <w:tcW w:type="dxa" w:w="2880"/>
          </w:tcPr>
          <w:p>
            <w:r>
              <w:rPr>
                <w:b/>
              </w:rPr>
              <w:t>TOTAL</w:t>
            </w:r>
          </w:p>
        </w:tc>
        <w:tc>
          <w:tcPr>
            <w:tcW w:type="dxa" w:w="2880"/>
          </w:tcPr>
          <w:p>
            <w:r>
              <w:rPr>
                <w:b/>
              </w:rPr>
              <w:t>30 MWh</w:t>
            </w:r>
          </w:p>
        </w:tc>
        <w:tc>
          <w:tcPr>
            <w:tcW w:type="dxa" w:w="2880"/>
          </w:tcPr>
          <w:p>
            <w:r>
              <w:rPr>
                <w:b/>
              </w:rPr>
              <w:t>EUR 12,000.00 per year</w:t>
            </w:r>
          </w:p>
        </w:tc>
      </w:tr>
    </w:tbl>
    <w:p/>
    <w:p>
      <w:pPr>
        <w:spacing w:after="80"/>
      </w:pPr>
      <w:r>
        <w:t>The subscription fee of EUR 12,000.00 per year (ex VAT) is invoiced annually in advance from the PAC date (set per the EPC Delivery Schedule confirmed at Connection Terms). Payment due within 30 days of invoice. Fee is exclusive of VAT (19%). Fixed Years 1-3, thereafter annual CPI adjustment (Cyprus HICP, max 3%).</w:t>
      </w:r>
    </w:p>
    <w:p>
      <w:pPr>
        <w:pStyle w:val="Heading2"/>
        <w:spacing w:before="120"/>
      </w:pPr>
      <w:r>
        <w:t>4. TERM AND RENEWAL</w:t>
      </w:r>
    </w:p>
    <w:p>
      <w:pPr>
        <w:spacing w:after="80"/>
      </w:pPr>
      <w:r>
        <w:t>Initial term: 15 years from PAC, aligned with LTSA LCY-LTSA-GAL-2026. Auto-renews for successive 5-year periods unless either Party gives 12 months written notice.</w:t>
      </w:r>
    </w:p>
    <w:p>
      <w:pPr>
        <w:pStyle w:val="Heading2"/>
        <w:spacing w:before="120"/>
      </w:pPr>
      <w:r>
        <w:t>5. LINYANG WARRANTY AND BMS ACCESS</w:t>
      </w:r>
    </w:p>
    <w:p>
      <w:pPr>
        <w:spacing w:after="80"/>
      </w:pPr>
      <w:r>
        <w:t>The Linyang OEM product warranty and Direct Warranty Undertaking survive termination of the Lighthief–Linyang Distribution Agreement, so OEM product cover does not depend on that arrangement. The BMS northbound communication interface (Modbus TCP / RS485) is a standard OEM interface, and its compatibility with the DISPERON EMS is confirmed in the Technical Agreement. Continuity of DISPERON EMS data access is provided under this Subscription Agreement and is not contingent on the Distribution Agreement.</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R&amp;D Innovations Sp. z o.o. (DISPERON)</w:t>
            </w:r>
          </w:p>
        </w:tc>
        <w:tc>
          <w:tcPr>
            <w:tcW w:type="dxa" w:w="4320"/>
          </w:tcPr>
          <w:p>
            <w:r>
              <w:t>For Galascope Ltd</w:t>
            </w:r>
          </w:p>
        </w:tc>
      </w:tr>
      <w:tr>
        <w:tc>
          <w:tcPr>
            <w:tcW w:type="dxa" w:w="4320"/>
          </w:tcPr>
          <w:p>
            <w:r>
              <w:t>Name: Alexander Papacosta</w:t>
            </w:r>
          </w:p>
        </w:tc>
        <w:tc>
          <w:tcPr>
            <w:tcW w:type="dxa" w:w="4320"/>
          </w:tcPr>
          <w:p>
            <w:r>
              <w:t>Name: ___________________________</w:t>
            </w:r>
          </w:p>
        </w:tc>
      </w:tr>
      <w:tr>
        <w:tc>
          <w:tcPr>
            <w:tcW w:type="dxa" w:w="4320"/>
          </w:tcPr>
          <w:p>
            <w:r>
              <w:t>Title: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