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LCY-LTSA-GAL-2026</w:t>
        <w:br/>
        <w:t>Version: 4.0</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alarm/event logs, BMS/PCS/EMS logs, maintenance records, SOH certificates and availability calculations for a minimum of fifteen (15) years from the Commissioning Date, and for five (5) years following termination. The Client shall have continuous access to and the right to export all such data at any time. Data shall be retained in formats acceptable to the OEM (Linyang) for warranty claims and to any applicable regulatory authority.</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Total Scheduled Downtime shall not exceed two (2) days (48 hours) per Park per calendar year, excluding Force Majeure events. Maintenance visits shall be pre-scheduled at least thirty (30) days in advance, confirmed by the Client, and performed in low-dispatch windows (preferably between 04:00 and 08:00 local time). Scheduled Downtime exceeding 48 consecutive hours per Park requires the Client's prior written approval except for safety emergencies.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The Service Fee is fixed for the Initial Term (five (5) years). No adjustment shall apply during the Initial Term. After the Initial Term, the Service Fee may be adjusted only by written agreement of both Parties.</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immediately upon alert generation (automated 24/7 platform); duty technician acknowledgement within thirty (30) minutes; on-site attendance (if required) within twelve (12) hours. For any safety risk the Service Provider shall apply immediate remote isolation or safe-shutdown command without waiting for acknowledgement.</w:t>
      </w:r>
    </w:p>
    <w:p>
      <w:r>
        <w:rPr>
          <w:b w:val="0"/>
          <w:sz w:val="20"/>
        </w:rPr>
        <w:t>(b) Major Alerts: Initial remote response within four (4) hours; on-site attendance (if required) within six (6) hours of the alert.</w:t>
      </w:r>
    </w:p>
    <w:p>
      <w:r>
        <w:rPr>
          <w:b w:val="0"/>
          <w:sz w:val="20"/>
        </w:rPr>
        <w:t>(c) Minor Alerts: Initial remote response within twelve (12)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by the next-Business-Day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 xml:space="preserve">If the primary duty technician does not acknowledge a Critical Alert within thirty (30) minutes, the Monitoring Platform shall automatically escalate the alert to the backup technician </w:t>
      </w:r>
    </w:p>
    <w:p>
      <w:r>
        <w:rPr>
          <w:b w:val="0"/>
          <w:sz w:val="20"/>
        </w:rPr>
        <w:t>If on-site attendance has not been dispatched within two (2) hours of a Critical Alert, the operations manager shall escalate</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systems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Availability Rationale and LD Protection</w:t>
      </w:r>
    </w:p>
    <w:p>
      <w:r>
        <w:rPr>
          <w:b w:val="0"/>
          <w:sz w:val="20"/>
        </w:rPr>
        <w:t>The 97% Availability Guarantee applies at the Project level across Galascope 1 and Galascope 2 in aggregate, consistent with the Parties’ agreement. An isolated park outage does not constitute a breach of the guarantee provided the weighted average availability across both Project parks exceeds 97%. This structure was agreed by the Parties and reflects the aggregated (project-level) basis under which the Tier C service fee was agreed. Note: the group-level calculation does not eliminate the financial consequence of individual park underperformance — the Availability LD cap has been increased to fifty percent (50%) of the annual Service Fee (Section 9.5) to provide meaningful compensation even where one park drives the shortfall. The Parties acknowledge that requiring per-park 97% guarantees on individual smaller parks would require a materially higher service fee and was not the basis on which the Tier C fee was agreed.</w:t>
      </w:r>
    </w:p>
    <w:p>
      <w:r>
        <w:rPr>
          <w:b w:val="0"/>
          <w:sz w:val="20"/>
        </w:rPr>
        <w:t>9.3 Exclusions from Unavailable Hours</w:t>
      </w:r>
    </w:p>
    <w:p>
      <w:r>
        <w:rPr>
          <w:b w:val="0"/>
          <w:sz w:val="20"/>
        </w:rPr>
        <w:t>The following shall not count as Unavailable Hours:</w:t>
      </w:r>
    </w:p>
    <w:p>
      <w:r>
        <w:rPr>
          <w:b w:val="0"/>
          <w:sz w:val="20"/>
        </w:rPr>
        <w:t>(maximum 48 hours / 2 days per year per Park)</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 — except that this exclusion shall not apply where the EMS failure is attributable to DISPERON (R&amp;D Innovations Sp. z o.o.) or any other entity within the Lighthief group of companies, or is caused by the Service Provider's configuration, monitoring, integration or cyber-security controls;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fifty percent (50%) of the annual Service Fee per Park. This cap shall not apply to wilful default or gross negligence by the Service Provider.</w:t>
      </w:r>
    </w:p>
    <w:p>
      <w:r>
        <w:rPr>
          <w:b w:val="0"/>
          <w:sz w:val="20"/>
        </w:rPr>
        <w:t>9.6 Sole Remedy</w:t>
      </w:r>
    </w:p>
    <w:p>
      <w:r>
        <w:rPr>
          <w:b w:val="0"/>
          <w:sz w:val="20"/>
        </w:rPr>
        <w:t>The Availability Liquidated Damages set out in this Section are the agreed primary remedy for ordinary failure to achieve the Availability Guarantee. They shall not exclude the Client's right to claim for wilful default, gross negligence, or repeated safety incidents by the Service Provider, for which the general liability provisions of Section 14 apply.</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94% of original rated capacity;</w:t>
      </w:r>
    </w:p>
    <w:p>
      <w:r>
        <w:rPr>
          <w:b w:val="0"/>
          <w:sz w:val="20"/>
        </w:rPr>
        <w:t>(b) End of Year 2: 91% of original rated capacity;</w:t>
      </w:r>
    </w:p>
    <w:p>
      <w:r>
        <w:rPr>
          <w:b w:val="0"/>
          <w:sz w:val="20"/>
        </w:rPr>
        <w:t>(c) End of Year 3: 89% of original rated capacity;</w:t>
      </w:r>
    </w:p>
    <w:p>
      <w:r>
        <w:rPr>
          <w:b w:val="0"/>
          <w:sz w:val="20"/>
        </w:rPr>
        <w:t>(d) End of Year 4: 87% of original rated capacity;</w:t>
      </w:r>
    </w:p>
    <w:p>
      <w:r>
        <w:rPr>
          <w:b w:val="0"/>
          <w:sz w:val="20"/>
        </w:rPr>
        <w:t>(e) End of Year 5: 85% of original rated capacity;</w:t>
      </w:r>
    </w:p>
    <w:p>
      <w:r>
        <w:rPr>
          <w:b w:val="0"/>
          <w:sz w:val="20"/>
        </w:rPr>
        <w:t>(f) End of Year 10: 78%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3%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stocked in the local warehouse include, at minimum: (Note: full transformer unit stocking is subject to further discussion given the distinct transformer ratings across Galascope 1 and Galascope 2; the Parties shall agree a transformer-spares arrangement within thirty (30) days of the LTSA Effective Date. In the interim, the Service Provider commits to a four (4) week OEM supply lead-time for transformer units.) Critical sub-components include:</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Insurance of minimum EUR 1,000,000 and Professional Indemnity Insurance of minimum EUR 2,000,000.</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The Client may terminate this Agreement for convenience by providing ninety (90) days' written notice. The Service Provider may terminate for convenience only after the Initial Term, by providing twelve (12) months' written notice, provided that such termination shall not prejudice warranty, data-handover or transition obligations.</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twenty-four (24) months preceding the claim. This cap shall not apply to wilful misconduct, gross negligence, fraud, breach of confidentiality, or the carve-outs in Section 14.3.</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[Third Party – specify]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8,000 cycles (25°C, 90% DOD, 0.5C) |</w:t>
      </w:r>
    </w:p>
    <w:p>
      <w:r>
        <w:rPr>
          <w:b w:val="0"/>
          <w:sz w:val="20"/>
        </w:rPr>
        <w:t>| Energy Density | 175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8,000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30 MWh (Galascope 1: 20.06 MWh + Galascope 2: 10.03 MWh)</w:t>
        <w:br/>
        <w:t>NOTE: Schedule 2 (Tier selection, annual fees, warranty-extension elections and EMS/SCADA subscription) must be completed and agreed by both Parties before this Agreement is signed. No blank fields shall remain at the time of execution.</w:t>
      </w:r>
    </w:p>
    <w:p>
      <w:r>
        <w:rPr>
          <w:b w:val="0"/>
          <w:sz w:val="20"/>
        </w:rPr>
        <w:t>SELECTED SERVICE TIER: ☐ Tier A  ☐ Tier B  ☒ Tier C (default)</w:t>
        <w:br/>
        <w:t>AGREED ALL-IN RATE: EUR 1,740 / MWh / Year, which is inclusive of the DISPERON EMS/SCADA software subscription (i.e. the EMS subscription is NOT charged separately on top of this rate). This all-in Tier C rate is the rate agreed for this Project.</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 | €[●]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 For the avoidance of doubt, this EUR 400/MWh/Year EMS/SCADA component is included within — and is not additional to — the all-in LTSA Service Fee of EUR 1,740/MWh/Year agreed for this Project; the EMS subscription is not invoiced separately on top of the LTSA Service Fee while this Agreement is in force. The standalone EUR 400/MWh/Year rate applies only if the Client exits or terminates the LTSA and the EMS subscription continues on a standalone basis.</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 MWh |</w:t>
      </w:r>
    </w:p>
    <w:p>
      <w:r>
        <w:rPr>
          <w:b w:val="0"/>
          <w:sz w:val="20"/>
        </w:rPr>
        <w:t>| Installed EMS/SCADA Cost | €[●] |</w:t>
      </w:r>
    </w:p>
    <w:p>
      <w:r>
        <w:rPr>
          <w:b w:val="0"/>
          <w:sz w:val="20"/>
        </w:rPr>
        <w:t>| Annual Subscription (20%) | €[●] |</w:t>
      </w:r>
    </w:p>
    <w:p>
      <w:r>
        <w:rPr>
          <w:b w:val="0"/>
          <w:sz w:val="20"/>
        </w:rPr>
        <w:t>| EUR/MWh/Year | €[●]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LDs shall be calculated as follows: for each percentage point below 97% achieved, the Service Provider shall pay EUR 30 per MWh per day of affected unavailable capacity (minimum EUR 500 per day per Park). Where this daily rate would produce a lower aggregate than the fee-reduction percentages in the table above, the fee-reduction table governs; where the daily rate produces a higher aggregate, the daily rate governs. In all cases the cap in Section 9.5 applies.</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94% |</w:t>
      </w:r>
    </w:p>
    <w:p>
      <w:r>
        <w:rPr>
          <w:b w:val="0"/>
          <w:sz w:val="20"/>
        </w:rPr>
        <w:t>| 2 | 91% |</w:t>
      </w:r>
    </w:p>
    <w:p>
      <w:r>
        <w:rPr>
          <w:b w:val="0"/>
          <w:sz w:val="20"/>
        </w:rPr>
        <w:t>| 3 | 89% |</w:t>
      </w:r>
    </w:p>
    <w:p>
      <w:r>
        <w:rPr>
          <w:b w:val="0"/>
          <w:sz w:val="20"/>
        </w:rPr>
        <w:t>| 4 | 87% |</w:t>
      </w:r>
    </w:p>
    <w:p>
      <w:r>
        <w:rPr>
          <w:b w:val="0"/>
          <w:sz w:val="20"/>
        </w:rPr>
        <w:t>| 5 | 85% |</w:t>
      </w:r>
    </w:p>
    <w:p>
      <w:r>
        <w:rPr>
          <w:b w:val="0"/>
          <w:sz w:val="20"/>
        </w:rPr>
        <w:t>| 6 | 83% |</w:t>
      </w:r>
    </w:p>
    <w:p>
      <w:r>
        <w:rPr>
          <w:b w:val="0"/>
          <w:sz w:val="20"/>
        </w:rPr>
        <w:t>| 7 | 82% |</w:t>
      </w:r>
    </w:p>
    <w:p>
      <w:r>
        <w:rPr>
          <w:b w:val="0"/>
          <w:sz w:val="20"/>
        </w:rPr>
        <w:t>| 8 | 80% |</w:t>
      </w:r>
    </w:p>
    <w:p>
      <w:r>
        <w:rPr>
          <w:b w:val="0"/>
          <w:sz w:val="20"/>
        </w:rPr>
        <w:t>| 9 | 79% |</w:t>
      </w:r>
    </w:p>
    <w:p>
      <w:r>
        <w:rPr>
          <w:b w:val="0"/>
          <w:sz w:val="20"/>
        </w:rPr>
        <w:t>| 10 | 78%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3%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(LCY-EPC-GAL-B1-2026 (v6.0, July 2026))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