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4A21" w14:textId="7B437E95" w:rsidR="007E52D7" w:rsidRPr="00394162" w:rsidRDefault="00394162" w:rsidP="007E52D7">
      <w:pPr>
        <w:shd w:val="clear" w:color="auto" w:fill="FFFFFF"/>
        <w:spacing w:before="200" w:after="60" w:line="240" w:lineRule="auto"/>
        <w:rPr>
          <w:rFonts w:ascii="Calibri" w:eastAsia="Times New Roman" w:hAnsi="Calibri" w:cs="Calibri"/>
          <w:color w:val="222222"/>
          <w:kern w:val="0"/>
          <w:sz w:val="28"/>
          <w:szCs w:val="28"/>
          <w:u w:val="single"/>
          <w:lang w:val="en-US" w:eastAsia="de-DE"/>
          <w14:ligatures w14:val="none"/>
        </w:rPr>
      </w:pPr>
      <w:r w:rsidRPr="00394162">
        <w:rPr>
          <w:rFonts w:ascii="Arial" w:eastAsia="Times New Roman" w:hAnsi="Arial" w:cs="Arial"/>
          <w:b/>
          <w:bCs/>
          <w:color w:val="222222"/>
          <w:kern w:val="0"/>
          <w:sz w:val="28"/>
          <w:szCs w:val="28"/>
          <w:u w:val="single"/>
          <w:lang w:val="en-US" w:eastAsia="de-DE"/>
          <w14:ligatures w14:val="none"/>
        </w:rPr>
        <w:t>Galascope Lawyer comments</w:t>
      </w:r>
    </w:p>
    <w:p w14:paraId="3AF6B2FF" w14:textId="77777777" w:rsidR="007E52D7" w:rsidRPr="007E52D7" w:rsidRDefault="007E52D7" w:rsidP="00394162">
      <w:pPr>
        <w:shd w:val="clear" w:color="auto" w:fill="FFFFFF"/>
        <w:spacing w:before="120"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b/>
          <w:bCs/>
          <w:color w:val="222222"/>
          <w:kern w:val="0"/>
          <w:sz w:val="22"/>
          <w:szCs w:val="22"/>
          <w:lang w:val="en-US" w:eastAsia="de-DE"/>
          <w14:ligatures w14:val="none"/>
        </w:rPr>
        <w:t xml:space="preserve">1. The EPC must be conditional on signing of the </w:t>
      </w:r>
      <w:proofErr w:type="spellStart"/>
      <w:r w:rsidRPr="007E52D7">
        <w:rPr>
          <w:rFonts w:ascii="Arial" w:eastAsia="Times New Roman" w:hAnsi="Arial" w:cs="Arial"/>
          <w:b/>
          <w:bCs/>
          <w:color w:val="222222"/>
          <w:kern w:val="0"/>
          <w:sz w:val="22"/>
          <w:szCs w:val="22"/>
          <w:lang w:val="en-US" w:eastAsia="de-DE"/>
          <w14:ligatures w14:val="none"/>
        </w:rPr>
        <w:t>LTSA</w:t>
      </w:r>
      <w:proofErr w:type="spellEnd"/>
      <w:r w:rsidRPr="007E52D7">
        <w:rPr>
          <w:rFonts w:ascii="Arial" w:eastAsia="Times New Roman" w:hAnsi="Arial" w:cs="Arial"/>
          <w:b/>
          <w:bCs/>
          <w:color w:val="222222"/>
          <w:kern w:val="0"/>
          <w:sz w:val="22"/>
          <w:szCs w:val="22"/>
          <w:lang w:val="en-US" w:eastAsia="de-DE"/>
          <w14:ligatures w14:val="none"/>
        </w:rPr>
        <w:t>. </w:t>
      </w:r>
      <w:r w:rsidRPr="007E52D7">
        <w:rPr>
          <w:rFonts w:ascii="Arial" w:eastAsia="Times New Roman" w:hAnsi="Arial" w:cs="Arial"/>
          <w:color w:val="222222"/>
          <w:kern w:val="0"/>
          <w:sz w:val="22"/>
          <w:szCs w:val="22"/>
          <w:lang w:val="en-US" w:eastAsia="de-DE"/>
          <w14:ligatures w14:val="none"/>
        </w:rPr>
        <w:t xml:space="preserve">Several EPC protections only work if the </w:t>
      </w:r>
      <w:proofErr w:type="spellStart"/>
      <w:r w:rsidRPr="007E52D7">
        <w:rPr>
          <w:rFonts w:ascii="Arial" w:eastAsia="Times New Roman" w:hAnsi="Arial" w:cs="Arial"/>
          <w:color w:val="222222"/>
          <w:kern w:val="0"/>
          <w:sz w:val="22"/>
          <w:szCs w:val="22"/>
          <w:lang w:val="en-US" w:eastAsia="de-DE"/>
          <w14:ligatures w14:val="none"/>
        </w:rPr>
        <w:t>LTSA</w:t>
      </w:r>
      <w:proofErr w:type="spellEnd"/>
      <w:r w:rsidRPr="007E52D7">
        <w:rPr>
          <w:rFonts w:ascii="Arial" w:eastAsia="Times New Roman" w:hAnsi="Arial" w:cs="Arial"/>
          <w:color w:val="222222"/>
          <w:kern w:val="0"/>
          <w:sz w:val="22"/>
          <w:szCs w:val="22"/>
          <w:lang w:val="en-US" w:eastAsia="de-DE"/>
          <w14:ligatures w14:val="none"/>
        </w:rPr>
        <w:t xml:space="preserve"> is in place: the warranty void carve out for monitoring failures, the </w:t>
      </w:r>
      <w:proofErr w:type="spellStart"/>
      <w:proofErr w:type="gramStart"/>
      <w:r w:rsidRPr="007E52D7">
        <w:rPr>
          <w:rFonts w:ascii="Arial" w:eastAsia="Times New Roman" w:hAnsi="Arial" w:cs="Arial"/>
          <w:color w:val="222222"/>
          <w:kern w:val="0"/>
          <w:sz w:val="22"/>
          <w:szCs w:val="22"/>
          <w:lang w:val="en-US" w:eastAsia="de-DE"/>
          <w14:ligatures w14:val="none"/>
        </w:rPr>
        <w:t>on site</w:t>
      </w:r>
      <w:proofErr w:type="spellEnd"/>
      <w:proofErr w:type="gramEnd"/>
      <w:r w:rsidRPr="007E52D7">
        <w:rPr>
          <w:rFonts w:ascii="Arial" w:eastAsia="Times New Roman" w:hAnsi="Arial" w:cs="Arial"/>
          <w:color w:val="222222"/>
          <w:kern w:val="0"/>
          <w:sz w:val="22"/>
          <w:szCs w:val="22"/>
          <w:lang w:val="en-US" w:eastAsia="de-DE"/>
          <w14:ligatures w14:val="none"/>
        </w:rPr>
        <w:t xml:space="preserve"> </w:t>
      </w:r>
      <w:proofErr w:type="spellStart"/>
      <w:r w:rsidRPr="007E52D7">
        <w:rPr>
          <w:rFonts w:ascii="Arial" w:eastAsia="Times New Roman" w:hAnsi="Arial" w:cs="Arial"/>
          <w:color w:val="222222"/>
          <w:kern w:val="0"/>
          <w:sz w:val="22"/>
          <w:szCs w:val="22"/>
          <w:lang w:val="en-US" w:eastAsia="de-DE"/>
          <w14:ligatures w14:val="none"/>
        </w:rPr>
        <w:t>labour</w:t>
      </w:r>
      <w:proofErr w:type="spellEnd"/>
      <w:r w:rsidRPr="007E52D7">
        <w:rPr>
          <w:rFonts w:ascii="Arial" w:eastAsia="Times New Roman" w:hAnsi="Arial" w:cs="Arial"/>
          <w:color w:val="222222"/>
          <w:kern w:val="0"/>
          <w:sz w:val="22"/>
          <w:szCs w:val="22"/>
          <w:lang w:val="en-US" w:eastAsia="de-DE"/>
          <w14:ligatures w14:val="none"/>
        </w:rPr>
        <w:t xml:space="preserve"> that fills the gap in the OEM's parts only remedy, and the availability guarantee itself. The EPC should therefore include execution of the </w:t>
      </w:r>
      <w:proofErr w:type="spellStart"/>
      <w:r w:rsidRPr="007E52D7">
        <w:rPr>
          <w:rFonts w:ascii="Arial" w:eastAsia="Times New Roman" w:hAnsi="Arial" w:cs="Arial"/>
          <w:color w:val="222222"/>
          <w:kern w:val="0"/>
          <w:sz w:val="22"/>
          <w:szCs w:val="22"/>
          <w:lang w:val="en-US" w:eastAsia="de-DE"/>
          <w14:ligatures w14:val="none"/>
        </w:rPr>
        <w:t>LTSA</w:t>
      </w:r>
      <w:proofErr w:type="spellEnd"/>
      <w:r w:rsidRPr="007E52D7">
        <w:rPr>
          <w:rFonts w:ascii="Arial" w:eastAsia="Times New Roman" w:hAnsi="Arial" w:cs="Arial"/>
          <w:color w:val="222222"/>
          <w:kern w:val="0"/>
          <w:sz w:val="22"/>
          <w:szCs w:val="22"/>
          <w:lang w:val="en-US" w:eastAsia="de-DE"/>
          <w14:ligatures w14:val="none"/>
        </w:rPr>
        <w:t xml:space="preserve"> as a condition precedent (alongside the existing conditions in Annex 1A.5), or at minimum a simultaneous execution requirement, so that Galascope is never bound to the EPC without the </w:t>
      </w:r>
      <w:proofErr w:type="spellStart"/>
      <w:r w:rsidRPr="007E52D7">
        <w:rPr>
          <w:rFonts w:ascii="Arial" w:eastAsia="Times New Roman" w:hAnsi="Arial" w:cs="Arial"/>
          <w:color w:val="222222"/>
          <w:kern w:val="0"/>
          <w:sz w:val="22"/>
          <w:szCs w:val="22"/>
          <w:lang w:val="en-US" w:eastAsia="de-DE"/>
          <w14:ligatures w14:val="none"/>
        </w:rPr>
        <w:t>LTSA</w:t>
      </w:r>
      <w:proofErr w:type="spellEnd"/>
      <w:r w:rsidRPr="007E52D7">
        <w:rPr>
          <w:rFonts w:ascii="Arial" w:eastAsia="Times New Roman" w:hAnsi="Arial" w:cs="Arial"/>
          <w:color w:val="222222"/>
          <w:kern w:val="0"/>
          <w:sz w:val="22"/>
          <w:szCs w:val="22"/>
          <w:lang w:val="en-US" w:eastAsia="de-DE"/>
          <w14:ligatures w14:val="none"/>
        </w:rPr>
        <w:t xml:space="preserve"> protections attached.</w:t>
      </w:r>
    </w:p>
    <w:p w14:paraId="430C2E51" w14:textId="77777777" w:rsidR="00394162" w:rsidRDefault="007E52D7" w:rsidP="00394162">
      <w:pPr>
        <w:shd w:val="clear" w:color="auto" w:fill="FFFFFF"/>
        <w:spacing w:before="240" w:after="50" w:line="240" w:lineRule="auto"/>
        <w:ind w:left="459"/>
        <w:rPr>
          <w:rFonts w:ascii="Arial" w:eastAsia="Times New Roman" w:hAnsi="Arial" w:cs="Arial"/>
          <w:color w:val="222222"/>
          <w:kern w:val="0"/>
          <w:sz w:val="22"/>
          <w:szCs w:val="22"/>
          <w:lang w:val="en-US" w:eastAsia="de-DE"/>
          <w14:ligatures w14:val="none"/>
        </w:rPr>
      </w:pPr>
      <w:r w:rsidRPr="007E52D7">
        <w:rPr>
          <w:rFonts w:ascii="Arial" w:eastAsia="Times New Roman" w:hAnsi="Arial" w:cs="Arial"/>
          <w:b/>
          <w:bCs/>
          <w:color w:val="222222"/>
          <w:kern w:val="0"/>
          <w:sz w:val="22"/>
          <w:szCs w:val="22"/>
          <w:highlight w:val="yellow"/>
          <w:lang w:val="en-US" w:eastAsia="de-DE"/>
          <w14:ligatures w14:val="none"/>
        </w:rPr>
        <w:t>2. The OEM performance guarantee is weaker than it appears.</w:t>
      </w:r>
      <w:r w:rsidRPr="007E52D7">
        <w:rPr>
          <w:rFonts w:ascii="Arial" w:eastAsia="Times New Roman" w:hAnsi="Arial" w:cs="Arial"/>
          <w:b/>
          <w:bCs/>
          <w:color w:val="222222"/>
          <w:kern w:val="0"/>
          <w:sz w:val="22"/>
          <w:szCs w:val="22"/>
          <w:lang w:val="en-US" w:eastAsia="de-DE"/>
          <w14:ligatures w14:val="none"/>
        </w:rPr>
        <w:t> </w:t>
      </w:r>
      <w:r w:rsidRPr="007E52D7">
        <w:rPr>
          <w:rFonts w:ascii="Arial" w:eastAsia="Times New Roman" w:hAnsi="Arial" w:cs="Arial"/>
          <w:color w:val="222222"/>
          <w:kern w:val="0"/>
          <w:sz w:val="22"/>
          <w:szCs w:val="22"/>
          <w:lang w:val="en-US" w:eastAsia="de-DE"/>
          <w14:ligatures w14:val="none"/>
        </w:rPr>
        <w:t xml:space="preserve">It is a corporate promise from Linyang, not a bank guarantee (clause 3 says so expressly), it is governed by Chinese law with Shanghai arbitration (clause 11), it requires 30 days' notice and cure before we can demand (clause 7), and it expires at the end of the defects liability period, i.e. only 3 months after PAC (clause 6). It also expressly confirms no parent company guarantee is provided (clause 8). It is real but modest protection. </w:t>
      </w:r>
    </w:p>
    <w:p w14:paraId="253DC6C4" w14:textId="32F38398" w:rsidR="007E52D7" w:rsidRPr="007E52D7" w:rsidRDefault="007E52D7" w:rsidP="007E52D7">
      <w:pPr>
        <w:shd w:val="clear" w:color="auto" w:fill="FFFFFF"/>
        <w:spacing w:before="50" w:after="50" w:line="240" w:lineRule="auto"/>
        <w:ind w:left="460"/>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lang w:val="en-US" w:eastAsia="de-DE"/>
          <w14:ligatures w14:val="none"/>
        </w:rPr>
        <w:t>Ask: extend validity to at least 12 months post PAC, and reduce the cure period for insolvency type events (partly there already).</w:t>
      </w:r>
    </w:p>
    <w:p w14:paraId="4DFF16C8" w14:textId="5B7BF9EA" w:rsidR="007E52D7" w:rsidRPr="007E52D7" w:rsidRDefault="007E52D7" w:rsidP="00394162">
      <w:pPr>
        <w:shd w:val="clear" w:color="auto" w:fill="FFFFFF"/>
        <w:spacing w:before="160"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b/>
          <w:bCs/>
          <w:color w:val="222222"/>
          <w:kern w:val="0"/>
          <w:sz w:val="22"/>
          <w:szCs w:val="22"/>
          <w:highlight w:val="yellow"/>
          <w:lang w:val="en-US" w:eastAsia="de-DE"/>
          <w14:ligatures w14:val="none"/>
        </w:rPr>
        <w:t xml:space="preserve">3. Defects liability period - renew the 6 </w:t>
      </w:r>
      <w:proofErr w:type="gramStart"/>
      <w:r w:rsidRPr="007E52D7">
        <w:rPr>
          <w:rFonts w:ascii="Arial" w:eastAsia="Times New Roman" w:hAnsi="Arial" w:cs="Arial"/>
          <w:b/>
          <w:bCs/>
          <w:color w:val="222222"/>
          <w:kern w:val="0"/>
          <w:sz w:val="22"/>
          <w:szCs w:val="22"/>
          <w:highlight w:val="yellow"/>
          <w:lang w:val="en-US" w:eastAsia="de-DE"/>
          <w14:ligatures w14:val="none"/>
        </w:rPr>
        <w:t>month</w:t>
      </w:r>
      <w:proofErr w:type="gramEnd"/>
      <w:r w:rsidRPr="007E52D7">
        <w:rPr>
          <w:rFonts w:ascii="Arial" w:eastAsia="Times New Roman" w:hAnsi="Arial" w:cs="Arial"/>
          <w:b/>
          <w:bCs/>
          <w:color w:val="222222"/>
          <w:kern w:val="0"/>
          <w:sz w:val="22"/>
          <w:szCs w:val="22"/>
          <w:highlight w:val="yellow"/>
          <w:lang w:val="en-US" w:eastAsia="de-DE"/>
          <w14:ligatures w14:val="none"/>
        </w:rPr>
        <w:t xml:space="preserve"> ask</w:t>
      </w:r>
      <w:r w:rsidRPr="007E52D7">
        <w:rPr>
          <w:rFonts w:ascii="Arial" w:eastAsia="Times New Roman" w:hAnsi="Arial" w:cs="Arial"/>
          <w:b/>
          <w:bCs/>
          <w:color w:val="222222"/>
          <w:kern w:val="0"/>
          <w:sz w:val="22"/>
          <w:szCs w:val="22"/>
          <w:lang w:val="en-US" w:eastAsia="de-DE"/>
          <w14:ligatures w14:val="none"/>
        </w:rPr>
        <w:t>. </w:t>
      </w:r>
      <w:r w:rsidRPr="007E52D7">
        <w:rPr>
          <w:rFonts w:ascii="Arial" w:eastAsia="Times New Roman" w:hAnsi="Arial" w:cs="Arial"/>
          <w:color w:val="222222"/>
          <w:kern w:val="0"/>
          <w:sz w:val="22"/>
          <w:szCs w:val="22"/>
          <w:lang w:val="en-US" w:eastAsia="de-DE"/>
          <w14:ligatures w14:val="none"/>
        </w:rPr>
        <w:t>Still 3 months (EPC Section 9.2). This matters more now because both the 5% retention and the OEM performance guarantee expire with it. Moving the DLP to 6 months extends three protections at once. This is our ask.</w:t>
      </w:r>
    </w:p>
    <w:p w14:paraId="473198C5" w14:textId="77777777" w:rsidR="00037983" w:rsidRDefault="007E52D7" w:rsidP="00394162">
      <w:pPr>
        <w:shd w:val="clear" w:color="auto" w:fill="FFFFFF"/>
        <w:spacing w:before="160" w:after="50" w:line="240" w:lineRule="auto"/>
        <w:ind w:left="459"/>
        <w:rPr>
          <w:rFonts w:ascii="Arial" w:eastAsia="Times New Roman" w:hAnsi="Arial" w:cs="Arial"/>
          <w:color w:val="222222"/>
          <w:kern w:val="0"/>
          <w:sz w:val="22"/>
          <w:szCs w:val="22"/>
          <w:lang w:val="en-US" w:eastAsia="de-DE"/>
          <w14:ligatures w14:val="none"/>
        </w:rPr>
      </w:pPr>
      <w:r w:rsidRPr="007E52D7">
        <w:rPr>
          <w:rFonts w:ascii="Arial" w:eastAsia="Times New Roman" w:hAnsi="Arial" w:cs="Arial"/>
          <w:b/>
          <w:bCs/>
          <w:color w:val="222222"/>
          <w:kern w:val="0"/>
          <w:sz w:val="22"/>
          <w:szCs w:val="22"/>
          <w:lang w:val="en-US" w:eastAsia="de-DE"/>
          <w14:ligatures w14:val="none"/>
        </w:rPr>
        <w:t xml:space="preserve">4. </w:t>
      </w:r>
      <w:proofErr w:type="spellStart"/>
      <w:r w:rsidRPr="007E52D7">
        <w:rPr>
          <w:rFonts w:ascii="Arial" w:eastAsia="Times New Roman" w:hAnsi="Arial" w:cs="Arial"/>
          <w:b/>
          <w:bCs/>
          <w:color w:val="222222"/>
          <w:kern w:val="0"/>
          <w:sz w:val="22"/>
          <w:szCs w:val="22"/>
          <w:lang w:val="en-US" w:eastAsia="de-DE"/>
          <w14:ligatures w14:val="none"/>
        </w:rPr>
        <w:t>LTSA</w:t>
      </w:r>
      <w:proofErr w:type="spellEnd"/>
      <w:r w:rsidRPr="007E52D7">
        <w:rPr>
          <w:rFonts w:ascii="Arial" w:eastAsia="Times New Roman" w:hAnsi="Arial" w:cs="Arial"/>
          <w:b/>
          <w:bCs/>
          <w:color w:val="222222"/>
          <w:kern w:val="0"/>
          <w:sz w:val="22"/>
          <w:szCs w:val="22"/>
          <w:lang w:val="en-US" w:eastAsia="de-DE"/>
          <w14:ligatures w14:val="none"/>
        </w:rPr>
        <w:t xml:space="preserve"> (structural point, noted now) - downtime caused by the EMS does not count against the availability guarantee (</w:t>
      </w:r>
      <w:proofErr w:type="spellStart"/>
      <w:r w:rsidRPr="007E52D7">
        <w:rPr>
          <w:rFonts w:ascii="Arial" w:eastAsia="Times New Roman" w:hAnsi="Arial" w:cs="Arial"/>
          <w:b/>
          <w:bCs/>
          <w:color w:val="222222"/>
          <w:kern w:val="0"/>
          <w:sz w:val="22"/>
          <w:szCs w:val="22"/>
          <w:lang w:val="en-US" w:eastAsia="de-DE"/>
          <w14:ligatures w14:val="none"/>
        </w:rPr>
        <w:t>LTSA</w:t>
      </w:r>
      <w:proofErr w:type="spellEnd"/>
      <w:r w:rsidRPr="007E52D7">
        <w:rPr>
          <w:rFonts w:ascii="Arial" w:eastAsia="Times New Roman" w:hAnsi="Arial" w:cs="Arial"/>
          <w:b/>
          <w:bCs/>
          <w:color w:val="222222"/>
          <w:kern w:val="0"/>
          <w:sz w:val="22"/>
          <w:szCs w:val="22"/>
          <w:lang w:val="en-US" w:eastAsia="de-DE"/>
          <w14:ligatures w14:val="none"/>
        </w:rPr>
        <w:t xml:space="preserve"> Section 9.3(e)). </w:t>
      </w:r>
      <w:r w:rsidRPr="007E52D7">
        <w:rPr>
          <w:rFonts w:ascii="Arial" w:eastAsia="Times New Roman" w:hAnsi="Arial" w:cs="Arial"/>
          <w:color w:val="222222"/>
          <w:kern w:val="0"/>
          <w:sz w:val="22"/>
          <w:szCs w:val="22"/>
          <w:lang w:val="en-US" w:eastAsia="de-DE"/>
          <w14:ligatures w14:val="none"/>
        </w:rPr>
        <w:t>Normally a fair exclusion for third party software. But here the EMS provider (</w:t>
      </w:r>
      <w:proofErr w:type="spellStart"/>
      <w:r w:rsidRPr="007E52D7">
        <w:rPr>
          <w:rFonts w:ascii="Arial" w:eastAsia="Times New Roman" w:hAnsi="Arial" w:cs="Arial"/>
          <w:color w:val="222222"/>
          <w:kern w:val="0"/>
          <w:sz w:val="22"/>
          <w:szCs w:val="22"/>
          <w:lang w:val="en-US" w:eastAsia="de-DE"/>
          <w14:ligatures w14:val="none"/>
        </w:rPr>
        <w:t>DISPERON</w:t>
      </w:r>
      <w:proofErr w:type="spellEnd"/>
      <w:r w:rsidRPr="007E52D7">
        <w:rPr>
          <w:rFonts w:ascii="Arial" w:eastAsia="Times New Roman" w:hAnsi="Arial" w:cs="Arial"/>
          <w:color w:val="222222"/>
          <w:kern w:val="0"/>
          <w:sz w:val="22"/>
          <w:szCs w:val="22"/>
          <w:lang w:val="en-US" w:eastAsia="de-DE"/>
          <w14:ligatures w14:val="none"/>
        </w:rPr>
        <w:t xml:space="preserve">) is an affiliate of the same group as the Service Provider. As drafted, their own group company can cause an outage and the 97% guarantee is not engaged. </w:t>
      </w:r>
    </w:p>
    <w:p w14:paraId="4E19DEBB" w14:textId="1DD31DF9" w:rsidR="007E52D7" w:rsidRPr="007E52D7" w:rsidRDefault="007E52D7" w:rsidP="00037983">
      <w:pPr>
        <w:shd w:val="clear" w:color="auto" w:fill="FFFFFF"/>
        <w:spacing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lang w:val="en-US" w:eastAsia="de-DE"/>
          <w14:ligatures w14:val="none"/>
        </w:rPr>
        <w:t xml:space="preserve">Ask: the exclusion should not apply where the EMS failure is attributable to </w:t>
      </w:r>
      <w:proofErr w:type="spellStart"/>
      <w:r w:rsidRPr="007E52D7">
        <w:rPr>
          <w:rFonts w:ascii="Arial" w:eastAsia="Times New Roman" w:hAnsi="Arial" w:cs="Arial"/>
          <w:color w:val="222222"/>
          <w:kern w:val="0"/>
          <w:sz w:val="22"/>
          <w:szCs w:val="22"/>
          <w:lang w:val="en-US" w:eastAsia="de-DE"/>
          <w14:ligatures w14:val="none"/>
        </w:rPr>
        <w:t>DISPERON</w:t>
      </w:r>
      <w:proofErr w:type="spellEnd"/>
      <w:r w:rsidRPr="007E52D7">
        <w:rPr>
          <w:rFonts w:ascii="Arial" w:eastAsia="Times New Roman" w:hAnsi="Arial" w:cs="Arial"/>
          <w:color w:val="222222"/>
          <w:kern w:val="0"/>
          <w:sz w:val="22"/>
          <w:szCs w:val="22"/>
          <w:lang w:val="en-US" w:eastAsia="de-DE"/>
          <w14:ligatures w14:val="none"/>
        </w:rPr>
        <w:t xml:space="preserve"> or any Lighthief group entity.</w:t>
      </w:r>
    </w:p>
    <w:p w14:paraId="5182913C" w14:textId="6E2508E5" w:rsidR="007E52D7" w:rsidRPr="007E52D7" w:rsidRDefault="007E52D7" w:rsidP="00394162">
      <w:pPr>
        <w:shd w:val="clear" w:color="auto" w:fill="FFFFFF"/>
        <w:spacing w:before="160"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b/>
          <w:bCs/>
          <w:color w:val="222222"/>
          <w:kern w:val="0"/>
          <w:sz w:val="22"/>
          <w:szCs w:val="22"/>
          <w:highlight w:val="yellow"/>
          <w:lang w:val="en-US" w:eastAsia="de-DE"/>
          <w14:ligatures w14:val="none"/>
        </w:rPr>
        <w:t>5. Technical Agreements - two inconsistencies to fix</w:t>
      </w:r>
      <w:r w:rsidRPr="007E52D7">
        <w:rPr>
          <w:rFonts w:ascii="Arial" w:eastAsia="Times New Roman" w:hAnsi="Arial" w:cs="Arial"/>
          <w:b/>
          <w:bCs/>
          <w:color w:val="222222"/>
          <w:kern w:val="0"/>
          <w:sz w:val="22"/>
          <w:szCs w:val="22"/>
          <w:lang w:val="en-US" w:eastAsia="de-DE"/>
          <w14:ligatures w14:val="none"/>
        </w:rPr>
        <w:t>. </w:t>
      </w:r>
      <w:r w:rsidRPr="007E52D7">
        <w:rPr>
          <w:rFonts w:ascii="Arial" w:eastAsia="Times New Roman" w:hAnsi="Arial" w:cs="Arial"/>
          <w:color w:val="222222"/>
          <w:kern w:val="0"/>
          <w:sz w:val="22"/>
          <w:szCs w:val="22"/>
          <w:lang w:val="en-US" w:eastAsia="de-DE"/>
          <w14:ligatures w14:val="none"/>
        </w:rPr>
        <w:t>(</w:t>
      </w:r>
      <w:proofErr w:type="spellStart"/>
      <w:r w:rsidRPr="007E52D7">
        <w:rPr>
          <w:rFonts w:ascii="Arial" w:eastAsia="Times New Roman" w:hAnsi="Arial" w:cs="Arial"/>
          <w:color w:val="222222"/>
          <w:kern w:val="0"/>
          <w:sz w:val="22"/>
          <w:szCs w:val="22"/>
          <w:lang w:val="en-US" w:eastAsia="de-DE"/>
          <w14:ligatures w14:val="none"/>
        </w:rPr>
        <w:t>i</w:t>
      </w:r>
      <w:proofErr w:type="spellEnd"/>
      <w:r w:rsidRPr="007E52D7">
        <w:rPr>
          <w:rFonts w:ascii="Arial" w:eastAsia="Times New Roman" w:hAnsi="Arial" w:cs="Arial"/>
          <w:color w:val="222222"/>
          <w:kern w:val="0"/>
          <w:sz w:val="22"/>
          <w:szCs w:val="22"/>
          <w:lang w:val="en-US" w:eastAsia="de-DE"/>
          <w14:ligatures w14:val="none"/>
        </w:rPr>
        <w:t>) The warranty void thresholds differ from the EPC: the Technical Agreement voids the battery warranty at cell voltage 2.7V or below for 120 hours, and requires charging every 3 months and storage of no more than 6 months from factory. If Connection Terms or commissioning are delayed, someone must be contractually responsible for th</w:t>
      </w:r>
      <w:r w:rsidR="00037983">
        <w:rPr>
          <w:rFonts w:ascii="Arial" w:eastAsia="Times New Roman" w:hAnsi="Arial" w:cs="Arial"/>
          <w:color w:val="222222"/>
          <w:kern w:val="0"/>
          <w:sz w:val="22"/>
          <w:szCs w:val="22"/>
          <w:lang w:val="en-US" w:eastAsia="de-DE"/>
          <w14:ligatures w14:val="none"/>
        </w:rPr>
        <w:t>e</w:t>
      </w:r>
      <w:r w:rsidRPr="007E52D7">
        <w:rPr>
          <w:rFonts w:ascii="Arial" w:eastAsia="Times New Roman" w:hAnsi="Arial" w:cs="Arial"/>
          <w:color w:val="222222"/>
          <w:kern w:val="0"/>
          <w:sz w:val="22"/>
          <w:szCs w:val="22"/>
          <w:lang w:val="en-US" w:eastAsia="de-DE"/>
          <w14:ligatures w14:val="none"/>
        </w:rPr>
        <w:t xml:space="preserve"> interim charging and storage - </w:t>
      </w:r>
      <w:proofErr w:type="gramStart"/>
      <w:r w:rsidRPr="007E52D7">
        <w:rPr>
          <w:rFonts w:ascii="Arial" w:eastAsia="Times New Roman" w:hAnsi="Arial" w:cs="Arial"/>
          <w:color w:val="222222"/>
          <w:kern w:val="0"/>
          <w:sz w:val="22"/>
          <w:szCs w:val="22"/>
          <w:lang w:val="en-US" w:eastAsia="de-DE"/>
          <w14:ligatures w14:val="none"/>
        </w:rPr>
        <w:t>pre PAC</w:t>
      </w:r>
      <w:proofErr w:type="gramEnd"/>
      <w:r w:rsidRPr="007E52D7">
        <w:rPr>
          <w:rFonts w:ascii="Arial" w:eastAsia="Times New Roman" w:hAnsi="Arial" w:cs="Arial"/>
          <w:color w:val="222222"/>
          <w:kern w:val="0"/>
          <w:sz w:val="22"/>
          <w:szCs w:val="22"/>
          <w:lang w:val="en-US" w:eastAsia="de-DE"/>
          <w14:ligatures w14:val="none"/>
        </w:rPr>
        <w:t xml:space="preserve"> this must sit with Lighthief, and it should be stated. (ii) The Technical Agreement says the EMS is provided by the customer, which contradicts the </w:t>
      </w:r>
      <w:proofErr w:type="spellStart"/>
      <w:r w:rsidRPr="007E52D7">
        <w:rPr>
          <w:rFonts w:ascii="Arial" w:eastAsia="Times New Roman" w:hAnsi="Arial" w:cs="Arial"/>
          <w:color w:val="222222"/>
          <w:kern w:val="0"/>
          <w:sz w:val="22"/>
          <w:szCs w:val="22"/>
          <w:lang w:val="en-US" w:eastAsia="de-DE"/>
          <w14:ligatures w14:val="none"/>
        </w:rPr>
        <w:t>DISPERON</w:t>
      </w:r>
      <w:proofErr w:type="spellEnd"/>
      <w:r w:rsidRPr="007E52D7">
        <w:rPr>
          <w:rFonts w:ascii="Arial" w:eastAsia="Times New Roman" w:hAnsi="Arial" w:cs="Arial"/>
          <w:color w:val="222222"/>
          <w:kern w:val="0"/>
          <w:sz w:val="22"/>
          <w:szCs w:val="22"/>
          <w:lang w:val="en-US" w:eastAsia="de-DE"/>
          <w14:ligatures w14:val="none"/>
        </w:rPr>
        <w:t xml:space="preserve"> structure. Both are drafting fixes, but the storage and charging point has real money behind it if commissioning slips.</w:t>
      </w:r>
    </w:p>
    <w:p w14:paraId="190A9AD1" w14:textId="77777777" w:rsidR="007E52D7" w:rsidRPr="007E52D7" w:rsidRDefault="007E52D7" w:rsidP="00394162">
      <w:pPr>
        <w:shd w:val="clear" w:color="auto" w:fill="FFFFFF"/>
        <w:spacing w:before="160"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b/>
          <w:bCs/>
          <w:color w:val="222222"/>
          <w:kern w:val="0"/>
          <w:sz w:val="22"/>
          <w:szCs w:val="22"/>
          <w:lang w:val="en-US" w:eastAsia="de-DE"/>
          <w14:ligatures w14:val="none"/>
        </w:rPr>
        <w:t>6. Grid forming - capture the price position in writing. </w:t>
      </w:r>
      <w:r w:rsidRPr="007E52D7">
        <w:rPr>
          <w:rFonts w:ascii="Arial" w:eastAsia="Times New Roman" w:hAnsi="Arial" w:cs="Arial"/>
          <w:color w:val="222222"/>
          <w:kern w:val="0"/>
          <w:sz w:val="22"/>
          <w:szCs w:val="22"/>
          <w:lang w:val="en-US" w:eastAsia="de-DE"/>
          <w14:ligatures w14:val="none"/>
        </w:rPr>
        <w:t>The cover materials say activating grid forming (VSG) later is expected at no price change, but the Technical Agreement says any grid forming requirements beyond the stated German standard are subject to price recalculation. These two statements will collide later. One line in the EPC or Technical Agreement fixing that VSG and black start activation on the supplied hardware is at no additional equipment cost would close it.</w:t>
      </w:r>
    </w:p>
    <w:p w14:paraId="3B696240" w14:textId="77777777" w:rsidR="00037983" w:rsidRDefault="007E52D7" w:rsidP="00394162">
      <w:pPr>
        <w:shd w:val="clear" w:color="auto" w:fill="FFFFFF"/>
        <w:spacing w:before="160" w:after="50" w:line="240" w:lineRule="auto"/>
        <w:ind w:left="459"/>
        <w:rPr>
          <w:rFonts w:ascii="Arial" w:eastAsia="Times New Roman" w:hAnsi="Arial" w:cs="Arial"/>
          <w:color w:val="222222"/>
          <w:kern w:val="0"/>
          <w:sz w:val="22"/>
          <w:szCs w:val="22"/>
          <w:lang w:val="en-US" w:eastAsia="de-DE"/>
          <w14:ligatures w14:val="none"/>
        </w:rPr>
      </w:pPr>
      <w:r w:rsidRPr="007E52D7">
        <w:rPr>
          <w:rFonts w:ascii="Arial" w:eastAsia="Times New Roman" w:hAnsi="Arial" w:cs="Arial"/>
          <w:b/>
          <w:bCs/>
          <w:color w:val="222222"/>
          <w:kern w:val="0"/>
          <w:sz w:val="22"/>
          <w:szCs w:val="22"/>
          <w:highlight w:val="yellow"/>
          <w:lang w:val="en-US" w:eastAsia="de-DE"/>
          <w14:ligatures w14:val="none"/>
        </w:rPr>
        <w:t>7. Bank guarantees - confirm the two open items.</w:t>
      </w:r>
      <w:r w:rsidRPr="007E52D7">
        <w:rPr>
          <w:rFonts w:ascii="Arial" w:eastAsia="Times New Roman" w:hAnsi="Arial" w:cs="Arial"/>
          <w:b/>
          <w:bCs/>
          <w:color w:val="222222"/>
          <w:kern w:val="0"/>
          <w:sz w:val="22"/>
          <w:szCs w:val="22"/>
          <w:lang w:val="en-US" w:eastAsia="de-DE"/>
          <w14:ligatures w14:val="none"/>
        </w:rPr>
        <w:t> </w:t>
      </w:r>
      <w:r w:rsidRPr="007E52D7">
        <w:rPr>
          <w:rFonts w:ascii="Arial" w:eastAsia="Times New Roman" w:hAnsi="Arial" w:cs="Arial"/>
          <w:color w:val="222222"/>
          <w:kern w:val="0"/>
          <w:sz w:val="22"/>
          <w:szCs w:val="22"/>
          <w:lang w:val="en-US" w:eastAsia="de-DE"/>
          <w14:ligatures w14:val="none"/>
        </w:rPr>
        <w:t xml:space="preserve">The specimen guarantees are genuinely strong: first demand, </w:t>
      </w:r>
      <w:proofErr w:type="spellStart"/>
      <w:r w:rsidRPr="007E52D7">
        <w:rPr>
          <w:rFonts w:ascii="Arial" w:eastAsia="Times New Roman" w:hAnsi="Arial" w:cs="Arial"/>
          <w:color w:val="222222"/>
          <w:kern w:val="0"/>
          <w:sz w:val="22"/>
          <w:szCs w:val="22"/>
          <w:lang w:val="en-US" w:eastAsia="de-DE"/>
          <w14:ligatures w14:val="none"/>
        </w:rPr>
        <w:t>URDG</w:t>
      </w:r>
      <w:proofErr w:type="spellEnd"/>
      <w:r w:rsidRPr="007E52D7">
        <w:rPr>
          <w:rFonts w:ascii="Arial" w:eastAsia="Times New Roman" w:hAnsi="Arial" w:cs="Arial"/>
          <w:color w:val="222222"/>
          <w:kern w:val="0"/>
          <w:sz w:val="22"/>
          <w:szCs w:val="22"/>
          <w:lang w:val="en-US" w:eastAsia="de-DE"/>
          <w14:ligatures w14:val="none"/>
        </w:rPr>
        <w:t xml:space="preserve"> 758, Galascope named directly as beneficiary, payment in 5 days without set off, valid to PAC, assignable to lenders. Two things are left open in the specimens: the identity of the issuing bank and the governing law, both marked to be confirmed. </w:t>
      </w:r>
    </w:p>
    <w:p w14:paraId="46E20C9B" w14:textId="0032E434" w:rsidR="007E52D7" w:rsidRPr="007E52D7" w:rsidRDefault="007E52D7" w:rsidP="00037983">
      <w:pPr>
        <w:shd w:val="clear" w:color="auto" w:fill="FFFFFF"/>
        <w:spacing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lang w:val="en-US" w:eastAsia="de-DE"/>
          <w14:ligatures w14:val="none"/>
        </w:rPr>
        <w:t>Our position: issuing bank must be acceptable to us (or confirmed through a Cyprus/EU bank), and final instruments must match the specimen wording. This is execution discipline rather than negotiation.</w:t>
      </w:r>
    </w:p>
    <w:p w14:paraId="690A777D" w14:textId="77777777" w:rsidR="007E52D7" w:rsidRPr="007E52D7" w:rsidRDefault="007E52D7" w:rsidP="007E52D7">
      <w:pPr>
        <w:shd w:val="clear" w:color="auto" w:fill="FFFFFF"/>
        <w:spacing w:before="200" w:after="60" w:line="240" w:lineRule="auto"/>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b/>
          <w:bCs/>
          <w:color w:val="222222"/>
          <w:kern w:val="0"/>
          <w:sz w:val="22"/>
          <w:szCs w:val="22"/>
          <w:highlight w:val="yellow"/>
          <w:lang w:val="en-US" w:eastAsia="de-DE"/>
          <w14:ligatures w14:val="none"/>
        </w:rPr>
        <w:t>B. Risks to be aware of</w:t>
      </w:r>
    </w:p>
    <w:p w14:paraId="252131FF" w14:textId="2ACC71B5" w:rsidR="007E52D7" w:rsidRPr="007E52D7" w:rsidRDefault="007E52D7" w:rsidP="007E52D7">
      <w:pPr>
        <w:shd w:val="clear" w:color="auto" w:fill="FFFFFF"/>
        <w:spacing w:before="80" w:after="80" w:line="240" w:lineRule="auto"/>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lang w:val="en-US" w:eastAsia="de-DE"/>
          <w14:ligatures w14:val="none"/>
        </w:rPr>
        <w:t>The following are risks which the board should take its decision aware of them.</w:t>
      </w:r>
    </w:p>
    <w:p w14:paraId="0587D038" w14:textId="593D96BB" w:rsidR="007E52D7" w:rsidRPr="007E52D7" w:rsidRDefault="007E52D7" w:rsidP="007E52D7">
      <w:pPr>
        <w:shd w:val="clear" w:color="auto" w:fill="FFFFFF"/>
        <w:spacing w:before="50" w:after="50" w:line="240" w:lineRule="auto"/>
        <w:ind w:left="460"/>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highlight w:val="yellow"/>
          <w:lang w:val="en-US" w:eastAsia="de-DE"/>
          <w14:ligatures w14:val="none"/>
        </w:rPr>
        <w:t>-</w:t>
      </w:r>
      <w:r w:rsidRPr="007E52D7">
        <w:rPr>
          <w:rFonts w:ascii="Times New Roman" w:eastAsia="Times New Roman" w:hAnsi="Times New Roman" w:cs="Times New Roman"/>
          <w:color w:val="222222"/>
          <w:kern w:val="0"/>
          <w:sz w:val="14"/>
          <w:szCs w:val="14"/>
          <w:highlight w:val="yellow"/>
          <w:lang w:val="en-US" w:eastAsia="de-DE"/>
          <w14:ligatures w14:val="none"/>
        </w:rPr>
        <w:t>    </w:t>
      </w:r>
      <w:r w:rsidRPr="007E52D7">
        <w:rPr>
          <w:rFonts w:ascii="Arial" w:eastAsia="Times New Roman" w:hAnsi="Arial" w:cs="Arial"/>
          <w:b/>
          <w:bCs/>
          <w:color w:val="222222"/>
          <w:kern w:val="0"/>
          <w:sz w:val="22"/>
          <w:szCs w:val="22"/>
          <w:highlight w:val="yellow"/>
          <w:lang w:val="en-US" w:eastAsia="de-DE"/>
          <w14:ligatures w14:val="none"/>
        </w:rPr>
        <w:t xml:space="preserve">Manufacturing defect protection ultimately rests on </w:t>
      </w:r>
      <w:proofErr w:type="spellStart"/>
      <w:r w:rsidRPr="007E52D7">
        <w:rPr>
          <w:rFonts w:ascii="Arial" w:eastAsia="Times New Roman" w:hAnsi="Arial" w:cs="Arial"/>
          <w:b/>
          <w:bCs/>
          <w:color w:val="222222"/>
          <w:kern w:val="0"/>
          <w:sz w:val="22"/>
          <w:szCs w:val="22"/>
          <w:highlight w:val="yellow"/>
          <w:lang w:val="en-US" w:eastAsia="de-DE"/>
          <w14:ligatures w14:val="none"/>
        </w:rPr>
        <w:t>Lighthief's</w:t>
      </w:r>
      <w:proofErr w:type="spellEnd"/>
      <w:r w:rsidRPr="007E52D7">
        <w:rPr>
          <w:rFonts w:ascii="Arial" w:eastAsia="Times New Roman" w:hAnsi="Arial" w:cs="Arial"/>
          <w:b/>
          <w:bCs/>
          <w:color w:val="222222"/>
          <w:kern w:val="0"/>
          <w:sz w:val="22"/>
          <w:szCs w:val="22"/>
          <w:highlight w:val="yellow"/>
          <w:lang w:val="en-US" w:eastAsia="de-DE"/>
          <w14:ligatures w14:val="none"/>
        </w:rPr>
        <w:t xml:space="preserve"> covenant</w:t>
      </w:r>
      <w:r w:rsidRPr="007E52D7">
        <w:rPr>
          <w:rFonts w:ascii="Arial" w:eastAsia="Times New Roman" w:hAnsi="Arial" w:cs="Arial"/>
          <w:b/>
          <w:bCs/>
          <w:color w:val="222222"/>
          <w:kern w:val="0"/>
          <w:sz w:val="22"/>
          <w:szCs w:val="22"/>
          <w:lang w:val="en-US" w:eastAsia="de-DE"/>
          <w14:ligatures w14:val="none"/>
        </w:rPr>
        <w:t>. </w:t>
      </w:r>
      <w:r w:rsidRPr="007E52D7">
        <w:rPr>
          <w:rFonts w:ascii="Arial" w:eastAsia="Times New Roman" w:hAnsi="Arial" w:cs="Arial"/>
          <w:color w:val="222222"/>
          <w:kern w:val="0"/>
          <w:sz w:val="22"/>
          <w:szCs w:val="22"/>
          <w:lang w:val="en-US" w:eastAsia="de-DE"/>
          <w14:ligatures w14:val="none"/>
        </w:rPr>
        <w:t xml:space="preserve">The DWU does now disapply the OEM's 10% cap for confirmed manufacturing defects (DWU 5.3). But the OEM decides in the first instance whether a defect is a manufacturing defect (DWU 3.3), and enforcing the DWU means Chinese law arbitration in Shanghai. Our practical protection is </w:t>
      </w:r>
      <w:proofErr w:type="spellStart"/>
      <w:r w:rsidRPr="007E52D7">
        <w:rPr>
          <w:rFonts w:ascii="Arial" w:eastAsia="Times New Roman" w:hAnsi="Arial" w:cs="Arial"/>
          <w:color w:val="222222"/>
          <w:kern w:val="0"/>
          <w:sz w:val="22"/>
          <w:szCs w:val="22"/>
          <w:lang w:val="en-US" w:eastAsia="de-DE"/>
          <w14:ligatures w14:val="none"/>
        </w:rPr>
        <w:t>Lighthief's</w:t>
      </w:r>
      <w:proofErr w:type="spellEnd"/>
      <w:r w:rsidRPr="007E52D7">
        <w:rPr>
          <w:rFonts w:ascii="Arial" w:eastAsia="Times New Roman" w:hAnsi="Arial" w:cs="Arial"/>
          <w:color w:val="222222"/>
          <w:kern w:val="0"/>
          <w:sz w:val="22"/>
          <w:szCs w:val="22"/>
          <w:lang w:val="en-US" w:eastAsia="de-DE"/>
          <w14:ligatures w14:val="none"/>
        </w:rPr>
        <w:t xml:space="preserve"> uncapped Cyprus law liability under the EPC, which is only as strong as </w:t>
      </w:r>
      <w:proofErr w:type="spellStart"/>
      <w:r w:rsidRPr="007E52D7">
        <w:rPr>
          <w:rFonts w:ascii="Arial" w:eastAsia="Times New Roman" w:hAnsi="Arial" w:cs="Arial"/>
          <w:color w:val="222222"/>
          <w:kern w:val="0"/>
          <w:sz w:val="22"/>
          <w:szCs w:val="22"/>
          <w:lang w:val="en-US" w:eastAsia="de-DE"/>
          <w14:ligatures w14:val="none"/>
        </w:rPr>
        <w:t>Lighthief's</w:t>
      </w:r>
      <w:proofErr w:type="spellEnd"/>
      <w:r w:rsidRPr="007E52D7">
        <w:rPr>
          <w:rFonts w:ascii="Arial" w:eastAsia="Times New Roman" w:hAnsi="Arial" w:cs="Arial"/>
          <w:color w:val="222222"/>
          <w:kern w:val="0"/>
          <w:sz w:val="22"/>
          <w:szCs w:val="22"/>
          <w:lang w:val="en-US" w:eastAsia="de-DE"/>
          <w14:ligatures w14:val="none"/>
        </w:rPr>
        <w:t xml:space="preserve"> balance sheet - and the performance guarantee expressly notes no parent guarantee is given. If the board wishes to strengthen this, a parent guarantee from Lighthief International would do more than any drafting change. </w:t>
      </w:r>
      <w:proofErr w:type="gramStart"/>
      <w:r w:rsidRPr="007E52D7">
        <w:rPr>
          <w:rFonts w:ascii="Arial" w:eastAsia="Times New Roman" w:hAnsi="Arial" w:cs="Arial"/>
          <w:color w:val="222222"/>
          <w:kern w:val="0"/>
          <w:sz w:val="22"/>
          <w:szCs w:val="22"/>
          <w:lang w:val="en-US" w:eastAsia="de-DE"/>
          <w14:ligatures w14:val="none"/>
        </w:rPr>
        <w:t>Otherwise</w:t>
      </w:r>
      <w:proofErr w:type="gramEnd"/>
      <w:r w:rsidRPr="007E52D7">
        <w:rPr>
          <w:rFonts w:ascii="Arial" w:eastAsia="Times New Roman" w:hAnsi="Arial" w:cs="Arial"/>
          <w:color w:val="222222"/>
          <w:kern w:val="0"/>
          <w:sz w:val="22"/>
          <w:szCs w:val="22"/>
          <w:lang w:val="en-US" w:eastAsia="de-DE"/>
          <w14:ligatures w14:val="none"/>
        </w:rPr>
        <w:t xml:space="preserve"> this is a risk to be taken with eyes open.</w:t>
      </w:r>
    </w:p>
    <w:p w14:paraId="464B99E2" w14:textId="45839E2F" w:rsidR="007E52D7" w:rsidRPr="007E52D7" w:rsidRDefault="007E52D7" w:rsidP="00394162">
      <w:pPr>
        <w:shd w:val="clear" w:color="auto" w:fill="FFFFFF"/>
        <w:spacing w:before="160"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highlight w:val="yellow"/>
          <w:lang w:val="en-US" w:eastAsia="de-DE"/>
          <w14:ligatures w14:val="none"/>
        </w:rPr>
        <w:t>-</w:t>
      </w:r>
      <w:r w:rsidRPr="007E52D7">
        <w:rPr>
          <w:rFonts w:ascii="Times New Roman" w:eastAsia="Times New Roman" w:hAnsi="Times New Roman" w:cs="Times New Roman"/>
          <w:color w:val="222222"/>
          <w:kern w:val="0"/>
          <w:sz w:val="14"/>
          <w:szCs w:val="14"/>
          <w:highlight w:val="yellow"/>
          <w:lang w:val="en-US" w:eastAsia="de-DE"/>
          <w14:ligatures w14:val="none"/>
        </w:rPr>
        <w:t>    </w:t>
      </w:r>
      <w:r w:rsidRPr="007E52D7">
        <w:rPr>
          <w:rFonts w:ascii="Arial" w:eastAsia="Times New Roman" w:hAnsi="Arial" w:cs="Arial"/>
          <w:b/>
          <w:bCs/>
          <w:color w:val="222222"/>
          <w:kern w:val="0"/>
          <w:sz w:val="22"/>
          <w:szCs w:val="22"/>
          <w:highlight w:val="yellow"/>
          <w:lang w:val="en-US" w:eastAsia="de-DE"/>
          <w14:ligatures w14:val="none"/>
        </w:rPr>
        <w:t>Availability protection is thin.</w:t>
      </w:r>
      <w:r w:rsidRPr="007E52D7">
        <w:rPr>
          <w:rFonts w:ascii="Arial" w:eastAsia="Times New Roman" w:hAnsi="Arial" w:cs="Arial"/>
          <w:b/>
          <w:bCs/>
          <w:color w:val="222222"/>
          <w:kern w:val="0"/>
          <w:sz w:val="22"/>
          <w:szCs w:val="22"/>
          <w:lang w:val="en-US" w:eastAsia="de-DE"/>
          <w14:ligatures w14:val="none"/>
        </w:rPr>
        <w:t> </w:t>
      </w:r>
      <w:r w:rsidRPr="007E52D7">
        <w:rPr>
          <w:rFonts w:ascii="Arial" w:eastAsia="Times New Roman" w:hAnsi="Arial" w:cs="Arial"/>
          <w:color w:val="222222"/>
          <w:kern w:val="0"/>
          <w:sz w:val="22"/>
          <w:szCs w:val="22"/>
          <w:lang w:val="en-US" w:eastAsia="de-DE"/>
          <w14:ligatures w14:val="none"/>
        </w:rPr>
        <w:t>The 97% guarantee is measured across both parks combined (</w:t>
      </w:r>
      <w:proofErr w:type="spellStart"/>
      <w:r w:rsidRPr="007E52D7">
        <w:rPr>
          <w:rFonts w:ascii="Arial" w:eastAsia="Times New Roman" w:hAnsi="Arial" w:cs="Arial"/>
          <w:color w:val="222222"/>
          <w:kern w:val="0"/>
          <w:sz w:val="22"/>
          <w:szCs w:val="22"/>
          <w:lang w:val="en-US" w:eastAsia="de-DE"/>
          <w14:ligatures w14:val="none"/>
        </w:rPr>
        <w:t>LTSA</w:t>
      </w:r>
      <w:proofErr w:type="spellEnd"/>
      <w:r w:rsidRPr="007E52D7">
        <w:rPr>
          <w:rFonts w:ascii="Arial" w:eastAsia="Times New Roman" w:hAnsi="Arial" w:cs="Arial"/>
          <w:color w:val="222222"/>
          <w:kern w:val="0"/>
          <w:sz w:val="22"/>
          <w:szCs w:val="22"/>
          <w:lang w:val="en-US" w:eastAsia="de-DE"/>
          <w14:ligatures w14:val="none"/>
        </w:rPr>
        <w:t xml:space="preserve"> 9.2A), so one park can be down for weeks without breach if the other performs. The LDs are a percentage of the annual service fee, capped at 20% of it (roughly EUR 13,000 a year on Tier C), and are the sole remedy (</w:t>
      </w:r>
      <w:proofErr w:type="spellStart"/>
      <w:r w:rsidRPr="007E52D7">
        <w:rPr>
          <w:rFonts w:ascii="Arial" w:eastAsia="Times New Roman" w:hAnsi="Arial" w:cs="Arial"/>
          <w:color w:val="222222"/>
          <w:kern w:val="0"/>
          <w:sz w:val="22"/>
          <w:szCs w:val="22"/>
          <w:lang w:val="en-US" w:eastAsia="de-DE"/>
          <w14:ligatures w14:val="none"/>
        </w:rPr>
        <w:t>LTSA</w:t>
      </w:r>
      <w:proofErr w:type="spellEnd"/>
      <w:r w:rsidRPr="007E52D7">
        <w:rPr>
          <w:rFonts w:ascii="Arial" w:eastAsia="Times New Roman" w:hAnsi="Arial" w:cs="Arial"/>
          <w:color w:val="222222"/>
          <w:kern w:val="0"/>
          <w:sz w:val="22"/>
          <w:szCs w:val="22"/>
          <w:lang w:val="en-US" w:eastAsia="de-DE"/>
          <w14:ligatures w14:val="none"/>
        </w:rPr>
        <w:t xml:space="preserve"> 9.4 to 9.6). This is compensation for service failure, not for lost revenue. </w:t>
      </w:r>
      <w:r w:rsidR="00037983">
        <w:rPr>
          <w:rFonts w:ascii="Arial" w:eastAsia="Times New Roman" w:hAnsi="Arial" w:cs="Arial"/>
          <w:color w:val="222222"/>
          <w:kern w:val="0"/>
          <w:sz w:val="22"/>
          <w:szCs w:val="22"/>
          <w:lang w:val="en-US" w:eastAsia="de-DE"/>
          <w14:ligatures w14:val="none"/>
        </w:rPr>
        <w:t xml:space="preserve">The </w:t>
      </w:r>
      <w:r w:rsidRPr="007E52D7">
        <w:rPr>
          <w:rFonts w:ascii="Arial" w:eastAsia="Times New Roman" w:hAnsi="Arial" w:cs="Arial"/>
          <w:color w:val="222222"/>
          <w:kern w:val="0"/>
          <w:sz w:val="22"/>
          <w:szCs w:val="22"/>
          <w:lang w:val="en-US" w:eastAsia="de-DE"/>
          <w14:ligatures w14:val="none"/>
        </w:rPr>
        <w:t xml:space="preserve">board </w:t>
      </w:r>
      <w:r w:rsidR="00037983">
        <w:rPr>
          <w:rFonts w:ascii="Arial" w:eastAsia="Times New Roman" w:hAnsi="Arial" w:cs="Arial"/>
          <w:color w:val="222222"/>
          <w:kern w:val="0"/>
          <w:sz w:val="22"/>
          <w:szCs w:val="22"/>
          <w:lang w:val="en-US" w:eastAsia="de-DE"/>
          <w14:ligatures w14:val="none"/>
        </w:rPr>
        <w:t>must understand that</w:t>
      </w:r>
      <w:r w:rsidRPr="007E52D7">
        <w:rPr>
          <w:rFonts w:ascii="Arial" w:eastAsia="Times New Roman" w:hAnsi="Arial" w:cs="Arial"/>
          <w:color w:val="222222"/>
          <w:kern w:val="0"/>
          <w:sz w:val="22"/>
          <w:szCs w:val="22"/>
          <w:lang w:val="en-US" w:eastAsia="de-DE"/>
          <w14:ligatures w14:val="none"/>
        </w:rPr>
        <w:t xml:space="preserve"> the 97% figure </w:t>
      </w:r>
      <w:r w:rsidR="00037983">
        <w:rPr>
          <w:rFonts w:ascii="Arial" w:eastAsia="Times New Roman" w:hAnsi="Arial" w:cs="Arial"/>
          <w:color w:val="222222"/>
          <w:kern w:val="0"/>
          <w:sz w:val="22"/>
          <w:szCs w:val="22"/>
          <w:lang w:val="en-US" w:eastAsia="de-DE"/>
          <w14:ligatures w14:val="none"/>
        </w:rPr>
        <w:t xml:space="preserve">does not constitute </w:t>
      </w:r>
      <w:r w:rsidRPr="007E52D7">
        <w:rPr>
          <w:rFonts w:ascii="Arial" w:eastAsia="Times New Roman" w:hAnsi="Arial" w:cs="Arial"/>
          <w:color w:val="222222"/>
          <w:kern w:val="0"/>
          <w:sz w:val="22"/>
          <w:szCs w:val="22"/>
          <w:lang w:val="en-US" w:eastAsia="de-DE"/>
          <w14:ligatures w14:val="none"/>
        </w:rPr>
        <w:t>revenue protection.</w:t>
      </w:r>
    </w:p>
    <w:p w14:paraId="5D5B4D04" w14:textId="42808583" w:rsidR="007E52D7" w:rsidRPr="007E52D7" w:rsidRDefault="007E52D7" w:rsidP="00394162">
      <w:pPr>
        <w:shd w:val="clear" w:color="auto" w:fill="FFFFFF"/>
        <w:spacing w:before="160"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highlight w:val="yellow"/>
          <w:lang w:val="en-US" w:eastAsia="de-DE"/>
          <w14:ligatures w14:val="none"/>
        </w:rPr>
        <w:lastRenderedPageBreak/>
        <w:t>-</w:t>
      </w:r>
      <w:r w:rsidRPr="007E52D7">
        <w:rPr>
          <w:rFonts w:ascii="Times New Roman" w:eastAsia="Times New Roman" w:hAnsi="Times New Roman" w:cs="Times New Roman"/>
          <w:color w:val="222222"/>
          <w:kern w:val="0"/>
          <w:sz w:val="14"/>
          <w:szCs w:val="14"/>
          <w:highlight w:val="yellow"/>
          <w:lang w:val="en-US" w:eastAsia="de-DE"/>
          <w14:ligatures w14:val="none"/>
        </w:rPr>
        <w:t>    </w:t>
      </w:r>
      <w:proofErr w:type="spellStart"/>
      <w:r w:rsidRPr="007E52D7">
        <w:rPr>
          <w:rFonts w:ascii="Arial" w:eastAsia="Times New Roman" w:hAnsi="Arial" w:cs="Arial"/>
          <w:b/>
          <w:bCs/>
          <w:color w:val="222222"/>
          <w:kern w:val="0"/>
          <w:sz w:val="22"/>
          <w:szCs w:val="22"/>
          <w:highlight w:val="yellow"/>
          <w:lang w:val="en-US" w:eastAsia="de-DE"/>
          <w14:ligatures w14:val="none"/>
        </w:rPr>
        <w:t>LTSA</w:t>
      </w:r>
      <w:proofErr w:type="spellEnd"/>
      <w:r w:rsidRPr="007E52D7">
        <w:rPr>
          <w:rFonts w:ascii="Arial" w:eastAsia="Times New Roman" w:hAnsi="Arial" w:cs="Arial"/>
          <w:b/>
          <w:bCs/>
          <w:color w:val="222222"/>
          <w:kern w:val="0"/>
          <w:sz w:val="22"/>
          <w:szCs w:val="22"/>
          <w:highlight w:val="yellow"/>
          <w:lang w:val="en-US" w:eastAsia="de-DE"/>
          <w14:ligatures w14:val="none"/>
        </w:rPr>
        <w:t xml:space="preserve"> liability cap and exit.</w:t>
      </w:r>
      <w:r w:rsidRPr="007E52D7">
        <w:rPr>
          <w:rFonts w:ascii="Arial" w:eastAsia="Times New Roman" w:hAnsi="Arial" w:cs="Arial"/>
          <w:b/>
          <w:bCs/>
          <w:color w:val="222222"/>
          <w:kern w:val="0"/>
          <w:sz w:val="22"/>
          <w:szCs w:val="22"/>
          <w:lang w:val="en-US" w:eastAsia="de-DE"/>
          <w14:ligatures w14:val="none"/>
        </w:rPr>
        <w:t> </w:t>
      </w:r>
      <w:r w:rsidRPr="007E52D7">
        <w:rPr>
          <w:rFonts w:ascii="Arial" w:eastAsia="Times New Roman" w:hAnsi="Arial" w:cs="Arial"/>
          <w:color w:val="222222"/>
          <w:kern w:val="0"/>
          <w:sz w:val="22"/>
          <w:szCs w:val="22"/>
          <w:lang w:val="en-US" w:eastAsia="de-DE"/>
          <w14:ligatures w14:val="none"/>
        </w:rPr>
        <w:t>Service Provider liability is capped at 12 months of fees (</w:t>
      </w:r>
      <w:proofErr w:type="spellStart"/>
      <w:r w:rsidRPr="007E52D7">
        <w:rPr>
          <w:rFonts w:ascii="Arial" w:eastAsia="Times New Roman" w:hAnsi="Arial" w:cs="Arial"/>
          <w:color w:val="222222"/>
          <w:kern w:val="0"/>
          <w:sz w:val="22"/>
          <w:szCs w:val="22"/>
          <w:lang w:val="en-US" w:eastAsia="de-DE"/>
          <w14:ligatures w14:val="none"/>
        </w:rPr>
        <w:t>LTSA</w:t>
      </w:r>
      <w:proofErr w:type="spellEnd"/>
      <w:r w:rsidRPr="007E52D7">
        <w:rPr>
          <w:rFonts w:ascii="Arial" w:eastAsia="Times New Roman" w:hAnsi="Arial" w:cs="Arial"/>
          <w:color w:val="222222"/>
          <w:kern w:val="0"/>
          <w:sz w:val="22"/>
          <w:szCs w:val="22"/>
          <w:lang w:val="en-US" w:eastAsia="de-DE"/>
          <w14:ligatures w14:val="none"/>
        </w:rPr>
        <w:t xml:space="preserve"> 14.2) and either party can terminate for convenience on 180 days' notice (</w:t>
      </w:r>
      <w:proofErr w:type="spellStart"/>
      <w:r w:rsidRPr="007E52D7">
        <w:rPr>
          <w:rFonts w:ascii="Arial" w:eastAsia="Times New Roman" w:hAnsi="Arial" w:cs="Arial"/>
          <w:color w:val="222222"/>
          <w:kern w:val="0"/>
          <w:sz w:val="22"/>
          <w:szCs w:val="22"/>
          <w:lang w:val="en-US" w:eastAsia="de-DE"/>
          <w14:ligatures w14:val="none"/>
        </w:rPr>
        <w:t>LTSA</w:t>
      </w:r>
      <w:proofErr w:type="spellEnd"/>
      <w:r w:rsidRPr="007E52D7">
        <w:rPr>
          <w:rFonts w:ascii="Arial" w:eastAsia="Times New Roman" w:hAnsi="Arial" w:cs="Arial"/>
          <w:color w:val="222222"/>
          <w:kern w:val="0"/>
          <w:sz w:val="22"/>
          <w:szCs w:val="22"/>
          <w:lang w:val="en-US" w:eastAsia="de-DE"/>
          <w14:ligatures w14:val="none"/>
        </w:rPr>
        <w:t xml:space="preserve"> 13.4). If </w:t>
      </w:r>
      <w:r w:rsidR="00394162">
        <w:rPr>
          <w:rFonts w:ascii="Arial" w:eastAsia="Times New Roman" w:hAnsi="Arial" w:cs="Arial"/>
          <w:color w:val="222222"/>
          <w:kern w:val="0"/>
          <w:sz w:val="22"/>
          <w:szCs w:val="22"/>
          <w:lang w:val="en-US" w:eastAsia="de-DE"/>
          <w14:ligatures w14:val="none"/>
        </w:rPr>
        <w:t>Lighthief exits</w:t>
      </w:r>
      <w:r w:rsidRPr="007E52D7">
        <w:rPr>
          <w:rFonts w:ascii="Arial" w:eastAsia="Times New Roman" w:hAnsi="Arial" w:cs="Arial"/>
          <w:color w:val="222222"/>
          <w:kern w:val="0"/>
          <w:sz w:val="22"/>
          <w:szCs w:val="22"/>
          <w:lang w:val="en-US" w:eastAsia="de-DE"/>
          <w14:ligatures w14:val="none"/>
        </w:rPr>
        <w:t xml:space="preserve">, the availability guarantee goes with them. </w:t>
      </w:r>
    </w:p>
    <w:p w14:paraId="1C976F07" w14:textId="77777777" w:rsidR="007E52D7" w:rsidRPr="007E52D7" w:rsidRDefault="007E52D7" w:rsidP="007E52D7">
      <w:pPr>
        <w:shd w:val="clear" w:color="auto" w:fill="FFFFFF"/>
        <w:spacing w:before="200" w:after="60" w:line="240" w:lineRule="auto"/>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b/>
          <w:bCs/>
          <w:color w:val="222222"/>
          <w:kern w:val="0"/>
          <w:sz w:val="22"/>
          <w:szCs w:val="22"/>
          <w:lang w:val="en-US" w:eastAsia="de-DE"/>
          <w14:ligatures w14:val="none"/>
        </w:rPr>
        <w:t>Before signature - checklist</w:t>
      </w:r>
    </w:p>
    <w:p w14:paraId="788B1BEF" w14:textId="77777777" w:rsidR="007E52D7" w:rsidRPr="007E52D7" w:rsidRDefault="007E52D7" w:rsidP="00394162">
      <w:pPr>
        <w:shd w:val="clear" w:color="auto" w:fill="FFFFFF"/>
        <w:spacing w:before="100"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lang w:val="en-US" w:eastAsia="de-DE"/>
          <w14:ligatures w14:val="none"/>
        </w:rPr>
        <w:t>-</w:t>
      </w:r>
      <w:r w:rsidRPr="007E52D7">
        <w:rPr>
          <w:rFonts w:ascii="Times New Roman" w:eastAsia="Times New Roman" w:hAnsi="Times New Roman" w:cs="Times New Roman"/>
          <w:color w:val="222222"/>
          <w:kern w:val="0"/>
          <w:sz w:val="14"/>
          <w:szCs w:val="14"/>
          <w:lang w:val="en-US" w:eastAsia="de-DE"/>
          <w14:ligatures w14:val="none"/>
        </w:rPr>
        <w:t>    </w:t>
      </w:r>
      <w:r w:rsidRPr="007E52D7">
        <w:rPr>
          <w:rFonts w:ascii="Arial" w:eastAsia="Times New Roman" w:hAnsi="Arial" w:cs="Arial"/>
          <w:color w:val="222222"/>
          <w:kern w:val="0"/>
          <w:sz w:val="22"/>
          <w:szCs w:val="22"/>
          <w:lang w:val="en-US" w:eastAsia="de-DE"/>
          <w14:ligatures w14:val="none"/>
        </w:rPr>
        <w:t>DWU and performance guarantee signed and sealed by Linyang (both are still drafts).</w:t>
      </w:r>
    </w:p>
    <w:p w14:paraId="0BBB891A" w14:textId="77777777" w:rsidR="007E52D7" w:rsidRPr="007E52D7" w:rsidRDefault="007E52D7" w:rsidP="00394162">
      <w:pPr>
        <w:shd w:val="clear" w:color="auto" w:fill="FFFFFF"/>
        <w:spacing w:before="100"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highlight w:val="yellow"/>
          <w:lang w:val="en-US" w:eastAsia="de-DE"/>
          <w14:ligatures w14:val="none"/>
        </w:rPr>
        <w:t>-</w:t>
      </w:r>
      <w:r w:rsidRPr="007E52D7">
        <w:rPr>
          <w:rFonts w:ascii="Times New Roman" w:eastAsia="Times New Roman" w:hAnsi="Times New Roman" w:cs="Times New Roman"/>
          <w:color w:val="222222"/>
          <w:kern w:val="0"/>
          <w:sz w:val="14"/>
          <w:szCs w:val="14"/>
          <w:highlight w:val="yellow"/>
          <w:lang w:val="en-US" w:eastAsia="de-DE"/>
          <w14:ligatures w14:val="none"/>
        </w:rPr>
        <w:t>    </w:t>
      </w:r>
      <w:r w:rsidRPr="007E52D7">
        <w:rPr>
          <w:rFonts w:ascii="Arial" w:eastAsia="Times New Roman" w:hAnsi="Arial" w:cs="Arial"/>
          <w:color w:val="222222"/>
          <w:kern w:val="0"/>
          <w:sz w:val="22"/>
          <w:szCs w:val="22"/>
          <w:highlight w:val="yellow"/>
          <w:lang w:val="en-US" w:eastAsia="de-DE"/>
          <w14:ligatures w14:val="none"/>
        </w:rPr>
        <w:t>Final bank guarantees issued matching the specimens, from an acceptable bank, governing law confirmed.</w:t>
      </w:r>
    </w:p>
    <w:p w14:paraId="348765DD" w14:textId="77777777" w:rsidR="007E52D7" w:rsidRPr="007E52D7" w:rsidRDefault="007E52D7" w:rsidP="00394162">
      <w:pPr>
        <w:shd w:val="clear" w:color="auto" w:fill="FFFFFF"/>
        <w:spacing w:before="100"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lang w:val="en-US" w:eastAsia="de-DE"/>
          <w14:ligatures w14:val="none"/>
        </w:rPr>
        <w:t>-</w:t>
      </w:r>
      <w:r w:rsidRPr="007E52D7">
        <w:rPr>
          <w:rFonts w:ascii="Times New Roman" w:eastAsia="Times New Roman" w:hAnsi="Times New Roman" w:cs="Times New Roman"/>
          <w:color w:val="222222"/>
          <w:kern w:val="0"/>
          <w:sz w:val="14"/>
          <w:szCs w:val="14"/>
          <w:lang w:val="en-US" w:eastAsia="de-DE"/>
          <w14:ligatures w14:val="none"/>
        </w:rPr>
        <w:t>    </w:t>
      </w:r>
      <w:r w:rsidRPr="007E52D7">
        <w:rPr>
          <w:rFonts w:ascii="Arial" w:eastAsia="Times New Roman" w:hAnsi="Arial" w:cs="Arial"/>
          <w:color w:val="222222"/>
          <w:kern w:val="0"/>
          <w:sz w:val="22"/>
          <w:szCs w:val="22"/>
          <w:lang w:val="en-US" w:eastAsia="de-DE"/>
          <w14:ligatures w14:val="none"/>
        </w:rPr>
        <w:t>EMS Addendum executed; Lighthief Cyprus guarantee confirmed to cover it.</w:t>
      </w:r>
    </w:p>
    <w:p w14:paraId="495BAAB3" w14:textId="77777777" w:rsidR="007E52D7" w:rsidRPr="007E52D7" w:rsidRDefault="007E52D7" w:rsidP="00394162">
      <w:pPr>
        <w:shd w:val="clear" w:color="auto" w:fill="FFFFFF"/>
        <w:spacing w:before="100"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lang w:val="en-US" w:eastAsia="de-DE"/>
          <w14:ligatures w14:val="none"/>
        </w:rPr>
        <w:t>-</w:t>
      </w:r>
      <w:r w:rsidRPr="007E52D7">
        <w:rPr>
          <w:rFonts w:ascii="Times New Roman" w:eastAsia="Times New Roman" w:hAnsi="Times New Roman" w:cs="Times New Roman"/>
          <w:color w:val="222222"/>
          <w:kern w:val="0"/>
          <w:sz w:val="14"/>
          <w:szCs w:val="14"/>
          <w:lang w:val="en-US" w:eastAsia="de-DE"/>
          <w14:ligatures w14:val="none"/>
        </w:rPr>
        <w:t>    </w:t>
      </w:r>
      <w:r w:rsidRPr="007E52D7">
        <w:rPr>
          <w:rFonts w:ascii="Arial" w:eastAsia="Times New Roman" w:hAnsi="Arial" w:cs="Arial"/>
          <w:color w:val="222222"/>
          <w:kern w:val="0"/>
          <w:sz w:val="22"/>
          <w:szCs w:val="22"/>
          <w:lang w:val="en-US" w:eastAsia="de-DE"/>
          <w14:ligatures w14:val="none"/>
        </w:rPr>
        <w:t>Technical Agreement fixes in A.4 and the grid forming line in A.5.</w:t>
      </w:r>
    </w:p>
    <w:p w14:paraId="5CB05F94" w14:textId="77777777" w:rsidR="007E52D7" w:rsidRPr="007E52D7" w:rsidRDefault="007E52D7" w:rsidP="00394162">
      <w:pPr>
        <w:shd w:val="clear" w:color="auto" w:fill="FFFFFF"/>
        <w:spacing w:before="100" w:after="50" w:line="240" w:lineRule="auto"/>
        <w:ind w:left="459"/>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lang w:val="en-US" w:eastAsia="de-DE"/>
          <w14:ligatures w14:val="none"/>
        </w:rPr>
        <w:t>-</w:t>
      </w:r>
      <w:r w:rsidRPr="007E52D7">
        <w:rPr>
          <w:rFonts w:ascii="Times New Roman" w:eastAsia="Times New Roman" w:hAnsi="Times New Roman" w:cs="Times New Roman"/>
          <w:color w:val="222222"/>
          <w:kern w:val="0"/>
          <w:sz w:val="14"/>
          <w:szCs w:val="14"/>
          <w:lang w:val="en-US" w:eastAsia="de-DE"/>
          <w14:ligatures w14:val="none"/>
        </w:rPr>
        <w:t>    </w:t>
      </w:r>
      <w:proofErr w:type="spellStart"/>
      <w:r w:rsidRPr="007E52D7">
        <w:rPr>
          <w:rFonts w:ascii="Arial" w:eastAsia="Times New Roman" w:hAnsi="Arial" w:cs="Arial"/>
          <w:color w:val="222222"/>
          <w:kern w:val="0"/>
          <w:sz w:val="22"/>
          <w:szCs w:val="22"/>
          <w:lang w:val="en-US" w:eastAsia="de-DE"/>
          <w14:ligatures w14:val="none"/>
        </w:rPr>
        <w:t>LTSA</w:t>
      </w:r>
      <w:proofErr w:type="spellEnd"/>
      <w:r w:rsidRPr="007E52D7">
        <w:rPr>
          <w:rFonts w:ascii="Arial" w:eastAsia="Times New Roman" w:hAnsi="Arial" w:cs="Arial"/>
          <w:color w:val="222222"/>
          <w:kern w:val="0"/>
          <w:sz w:val="22"/>
          <w:szCs w:val="22"/>
          <w:lang w:val="en-US" w:eastAsia="de-DE"/>
          <w14:ligatures w14:val="none"/>
        </w:rPr>
        <w:t xml:space="preserve"> executed simultaneously with (or as a condition of) the EPC, its Schedule 2 completed (tier selection and figures are currently blank) and its reference updated from EPC v4.0 to v6.</w:t>
      </w:r>
    </w:p>
    <w:p w14:paraId="754FA6B3" w14:textId="77777777" w:rsidR="007E52D7" w:rsidRPr="007E52D7" w:rsidRDefault="007E52D7" w:rsidP="007E52D7">
      <w:pPr>
        <w:shd w:val="clear" w:color="auto" w:fill="FFFFFF"/>
        <w:spacing w:before="40" w:line="240" w:lineRule="auto"/>
        <w:rPr>
          <w:rFonts w:ascii="Calibri" w:eastAsia="Times New Roman" w:hAnsi="Calibri" w:cs="Calibri"/>
          <w:color w:val="222222"/>
          <w:kern w:val="0"/>
          <w:sz w:val="22"/>
          <w:szCs w:val="22"/>
          <w:lang w:val="en-US" w:eastAsia="de-DE"/>
          <w14:ligatures w14:val="none"/>
        </w:rPr>
      </w:pPr>
      <w:r w:rsidRPr="007E52D7">
        <w:rPr>
          <w:rFonts w:ascii="Arial" w:eastAsia="Times New Roman" w:hAnsi="Arial" w:cs="Arial"/>
          <w:color w:val="222222"/>
          <w:kern w:val="0"/>
          <w:sz w:val="22"/>
          <w:szCs w:val="22"/>
          <w:lang w:val="en-US" w:eastAsia="de-DE"/>
          <w14:ligatures w14:val="none"/>
        </w:rPr>
        <w:t> </w:t>
      </w:r>
    </w:p>
    <w:p w14:paraId="119BF33D" w14:textId="77777777" w:rsidR="00B06742" w:rsidRPr="007E52D7" w:rsidRDefault="00B06742">
      <w:pPr>
        <w:rPr>
          <w:lang w:val="en-US"/>
        </w:rPr>
      </w:pPr>
    </w:p>
    <w:sectPr w:rsidR="00B06742" w:rsidRPr="007E52D7" w:rsidSect="00FB55B4">
      <w:pgSz w:w="11906" w:h="16838"/>
      <w:pgMar w:top="227" w:right="227" w:bottom="227" w:left="22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02FF" w:usb1="4000001F" w:usb2="08000029"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D7"/>
    <w:rsid w:val="00037983"/>
    <w:rsid w:val="001C62D1"/>
    <w:rsid w:val="00366F93"/>
    <w:rsid w:val="00394162"/>
    <w:rsid w:val="004E55BD"/>
    <w:rsid w:val="0053037D"/>
    <w:rsid w:val="007E52D7"/>
    <w:rsid w:val="00903ED1"/>
    <w:rsid w:val="009E1335"/>
    <w:rsid w:val="00A04C9F"/>
    <w:rsid w:val="00AB58D4"/>
    <w:rsid w:val="00B06742"/>
    <w:rsid w:val="00B20002"/>
    <w:rsid w:val="00BD40F7"/>
    <w:rsid w:val="00C13A73"/>
    <w:rsid w:val="00FB55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0CF9A"/>
  <w15:chartTrackingRefBased/>
  <w15:docId w15:val="{6F4225E6-F806-4488-B714-48BB2FD1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w:eastAsiaTheme="minorHAnsi" w:hAnsi="Noto Sans" w:cs="Noto Sans"/>
        <w:kern w:val="2"/>
        <w:sz w:val="24"/>
        <w:szCs w:val="24"/>
        <w:lang w:val="en-GB" w:eastAsia="en-US" w:bidi="ar-SA"/>
        <w14:ligatures w14:val="standardContextual"/>
      </w:rPr>
    </w:rPrDefault>
    <w:pPrDefault>
      <w:pPr>
        <w:spacing w:after="40"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2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E52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E52D7"/>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E52D7"/>
    <w:pPr>
      <w:keepNext/>
      <w:keepLines/>
      <w:spacing w:before="8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E52D7"/>
    <w:pPr>
      <w:keepNext/>
      <w:keepLines/>
      <w:spacing w:before="8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E52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52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52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52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D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E52D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E52D7"/>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E52D7"/>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7E52D7"/>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7E52D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52D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52D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52D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5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2D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2D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52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52D7"/>
    <w:rPr>
      <w:i/>
      <w:iCs/>
      <w:color w:val="404040" w:themeColor="text1" w:themeTint="BF"/>
    </w:rPr>
  </w:style>
  <w:style w:type="paragraph" w:styleId="ListParagraph">
    <w:name w:val="List Paragraph"/>
    <w:basedOn w:val="Normal"/>
    <w:uiPriority w:val="34"/>
    <w:qFormat/>
    <w:rsid w:val="007E52D7"/>
    <w:pPr>
      <w:ind w:left="720"/>
      <w:contextualSpacing/>
    </w:pPr>
  </w:style>
  <w:style w:type="character" w:styleId="IntenseEmphasis">
    <w:name w:val="Intense Emphasis"/>
    <w:basedOn w:val="DefaultParagraphFont"/>
    <w:uiPriority w:val="21"/>
    <w:qFormat/>
    <w:rsid w:val="007E52D7"/>
    <w:rPr>
      <w:i/>
      <w:iCs/>
      <w:color w:val="2E74B5" w:themeColor="accent1" w:themeShade="BF"/>
    </w:rPr>
  </w:style>
  <w:style w:type="paragraph" w:styleId="IntenseQuote">
    <w:name w:val="Intense Quote"/>
    <w:basedOn w:val="Normal"/>
    <w:next w:val="Normal"/>
    <w:link w:val="IntenseQuoteChar"/>
    <w:uiPriority w:val="30"/>
    <w:qFormat/>
    <w:rsid w:val="007E52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52D7"/>
    <w:rPr>
      <w:i/>
      <w:iCs/>
      <w:color w:val="2E74B5" w:themeColor="accent1" w:themeShade="BF"/>
    </w:rPr>
  </w:style>
  <w:style w:type="character" w:styleId="IntenseReference">
    <w:name w:val="Intense Reference"/>
    <w:basedOn w:val="DefaultParagraphFont"/>
    <w:uiPriority w:val="32"/>
    <w:qFormat/>
    <w:rsid w:val="007E52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803</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Constantinou</dc:creator>
  <cp:keywords/>
  <dc:description/>
  <cp:lastModifiedBy>Dino Constantinou</cp:lastModifiedBy>
  <cp:revision>2</cp:revision>
  <dcterms:created xsi:type="dcterms:W3CDTF">2026-07-14T05:14:00Z</dcterms:created>
  <dcterms:modified xsi:type="dcterms:W3CDTF">2026-07-15T09:24:00Z</dcterms:modified>
</cp:coreProperties>
</file>