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0"/>
        <w:gridCol w:w="2880"/>
      </w:tblGrid>
      <w:tr w:rsidR="006B4F28" w14:paraId="5FE0D903" w14:textId="77777777">
        <w:tc>
          <w:tcPr>
            <w:tcW w:w="6480" w:type="dxa"/>
            <w:shd w:val="clear" w:color="auto" w:fill="1A365D"/>
          </w:tcPr>
          <w:p w14:paraId="2245E3FD" w14:textId="77777777" w:rsidR="006B4F28" w:rsidRDefault="00000000">
            <w:pPr>
              <w:spacing w:before="40" w:after="20"/>
            </w:pPr>
            <w:r>
              <w:rPr>
                <w:noProof/>
              </w:rPr>
              <w:drawing>
                <wp:inline distT="0" distB="0" distL="0" distR="0" wp14:anchorId="293A0805" wp14:editId="3CA153A4">
                  <wp:extent cx="1765768" cy="621792"/>
                  <wp:effectExtent l="0" t="0" r="635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768" cy="62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shd w:val="clear" w:color="auto" w:fill="1A365D"/>
          </w:tcPr>
          <w:p w14:paraId="6E481F2C" w14:textId="77777777" w:rsidR="006B4F28" w:rsidRDefault="00000000">
            <w:pPr>
              <w:spacing w:before="60" w:after="20"/>
              <w:jc w:val="right"/>
            </w:pPr>
            <w:r>
              <w:rPr>
                <w:color w:val="8899AA"/>
                <w:sz w:val="16"/>
              </w:rPr>
              <w:t>Ref: LH-CY-PVBESS-APR2026</w:t>
            </w:r>
            <w:r>
              <w:rPr>
                <w:color w:val="8899AA"/>
                <w:sz w:val="16"/>
              </w:rPr>
              <w:br/>
            </w:r>
            <w:r>
              <w:rPr>
                <w:b/>
                <w:color w:val="CCDDEE"/>
                <w:sz w:val="18"/>
              </w:rPr>
              <w:t>April 2026 · Strictly Confidential</w:t>
            </w:r>
          </w:p>
        </w:tc>
      </w:tr>
    </w:tbl>
    <w:p w14:paraId="4FF23602" w14:textId="77777777" w:rsidR="006B4F28" w:rsidRDefault="006B4F28"/>
    <w:p w14:paraId="1A0ED67A" w14:textId="77777777" w:rsidR="006B4F28" w:rsidRDefault="00000000">
      <w:pPr>
        <w:spacing w:after="40"/>
      </w:pPr>
      <w:r>
        <w:rPr>
          <w:b/>
          <w:color w:val="9C7D22"/>
          <w:sz w:val="16"/>
        </w:rPr>
        <w:t>INVESTMENT TEASER  ·  CYPRUS RES MARKET</w:t>
      </w:r>
    </w:p>
    <w:p w14:paraId="4646C170" w14:textId="77777777" w:rsidR="006B4F28" w:rsidRDefault="00000000">
      <w:pPr>
        <w:spacing w:after="60"/>
      </w:pPr>
      <w:r>
        <w:rPr>
          <w:b/>
          <w:color w:val="1A365D"/>
          <w:sz w:val="40"/>
        </w:rPr>
        <w:t>Cyprus PV + Battery Energy Storage</w:t>
      </w:r>
    </w:p>
    <w:p w14:paraId="2377CB98" w14:textId="77777777" w:rsidR="006B4F28" w:rsidRDefault="00000000">
      <w:pPr>
        <w:spacing w:after="40"/>
      </w:pPr>
      <w:r>
        <w:rPr>
          <w:color w:val="7A8FA6"/>
          <w:sz w:val="18"/>
        </w:rPr>
        <w:t>4-Hour Hybrid Connection  ·  8-Hour Flexible Nighttime Dispatch  ·  AE Solar Meteor N-type TOPCon Bifacial  ·  ≤8 MW Standard EAC Tier</w:t>
      </w:r>
    </w:p>
    <w:p w14:paraId="45CA3AE5" w14:textId="77777777" w:rsidR="006B4F28" w:rsidRDefault="00000000">
      <w:pPr>
        <w:spacing w:after="120"/>
      </w:pPr>
      <w:r>
        <w:rPr>
          <w:i/>
          <w:color w:val="AABBCC"/>
          <w:sz w:val="16"/>
        </w:rPr>
        <w:t>Confidential - prepared by Lighthief Cyprus Ltd for qualified investors. Indicative figures based on confirmed EPC pricing and TSOC market data; not a binding offer.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B4F28" w14:paraId="5998AF30" w14:textId="77777777">
        <w:tc>
          <w:tcPr>
            <w:tcW w:w="2493" w:type="dxa"/>
            <w:shd w:val="clear" w:color="auto" w:fill="1A365D"/>
          </w:tcPr>
          <w:p w14:paraId="7A423143" w14:textId="77777777" w:rsidR="006B4F28" w:rsidRDefault="00000000">
            <w:pPr>
              <w:spacing w:before="40" w:after="10"/>
            </w:pPr>
            <w:r>
              <w:rPr>
                <w:color w:val="8899AA"/>
                <w:sz w:val="15"/>
              </w:rPr>
              <w:t>DAM EVENING PEAK</w:t>
            </w:r>
            <w:r>
              <w:rPr>
                <w:color w:val="8899AA"/>
                <w:sz w:val="15"/>
              </w:rPr>
              <w:br/>
            </w:r>
            <w:r>
              <w:rPr>
                <w:b/>
                <w:color w:val="C9A432"/>
                <w:sz w:val="28"/>
              </w:rPr>
              <w:t>€183/MWh</w:t>
            </w:r>
            <w:r>
              <w:rPr>
                <w:b/>
                <w:color w:val="C9A432"/>
                <w:sz w:val="28"/>
              </w:rPr>
              <w:br/>
            </w:r>
            <w:r>
              <w:rPr>
                <w:color w:val="667788"/>
                <w:sz w:val="15"/>
              </w:rPr>
              <w:t>TSOC sample Oct–Feb 2026</w:t>
            </w:r>
          </w:p>
        </w:tc>
        <w:tc>
          <w:tcPr>
            <w:tcW w:w="2493" w:type="dxa"/>
            <w:shd w:val="clear" w:color="auto" w:fill="1A365D"/>
          </w:tcPr>
          <w:p w14:paraId="5868E1E2" w14:textId="77777777" w:rsidR="006B4F28" w:rsidRDefault="00000000">
            <w:pPr>
              <w:spacing w:before="40" w:after="10"/>
            </w:pPr>
            <w:r>
              <w:rPr>
                <w:color w:val="8899AA"/>
                <w:sz w:val="15"/>
              </w:rPr>
              <w:t>BESS ROUND-TRIP EFFICIENCY</w:t>
            </w:r>
            <w:r>
              <w:rPr>
                <w:color w:val="8899AA"/>
                <w:sz w:val="15"/>
              </w:rPr>
              <w:br/>
            </w:r>
            <w:r>
              <w:rPr>
                <w:b/>
                <w:color w:val="C9A432"/>
                <w:sz w:val="28"/>
              </w:rPr>
              <w:t>86.32%</w:t>
            </w:r>
            <w:r>
              <w:rPr>
                <w:b/>
                <w:color w:val="C9A432"/>
                <w:sz w:val="28"/>
              </w:rPr>
              <w:br/>
            </w:r>
            <w:r>
              <w:rPr>
                <w:color w:val="667788"/>
                <w:sz w:val="15"/>
              </w:rPr>
              <w:t>AC-AC · Linyang LFP</w:t>
            </w:r>
          </w:p>
        </w:tc>
        <w:tc>
          <w:tcPr>
            <w:tcW w:w="2493" w:type="dxa"/>
            <w:shd w:val="clear" w:color="auto" w:fill="1A365D"/>
          </w:tcPr>
          <w:p w14:paraId="4AAE6F65" w14:textId="77777777" w:rsidR="006B4F28" w:rsidRDefault="00000000">
            <w:pPr>
              <w:spacing w:before="40" w:after="10"/>
            </w:pPr>
            <w:r>
              <w:rPr>
                <w:color w:val="8899AA"/>
                <w:sz w:val="15"/>
              </w:rPr>
              <w:t>PV SPECIFIC YIELD</w:t>
            </w:r>
            <w:r>
              <w:rPr>
                <w:color w:val="8899AA"/>
                <w:sz w:val="15"/>
              </w:rPr>
              <w:br/>
            </w:r>
            <w:r>
              <w:rPr>
                <w:b/>
                <w:color w:val="C9A432"/>
                <w:sz w:val="28"/>
              </w:rPr>
              <w:t>2,150 kWh/kWp</w:t>
            </w:r>
            <w:r>
              <w:rPr>
                <w:b/>
                <w:color w:val="C9A432"/>
                <w:sz w:val="28"/>
              </w:rPr>
              <w:br/>
            </w:r>
            <w:r>
              <w:rPr>
                <w:color w:val="667788"/>
                <w:sz w:val="15"/>
              </w:rPr>
              <w:t>Bifacial TOPCon · 25° · albedo 0.70</w:t>
            </w:r>
          </w:p>
        </w:tc>
        <w:tc>
          <w:tcPr>
            <w:tcW w:w="2493" w:type="dxa"/>
            <w:shd w:val="clear" w:color="auto" w:fill="1A365D"/>
          </w:tcPr>
          <w:p w14:paraId="20F45CCC" w14:textId="77777777" w:rsidR="006B4F28" w:rsidRDefault="00000000">
            <w:pPr>
              <w:spacing w:before="40" w:after="10"/>
            </w:pPr>
            <w:r>
              <w:rPr>
                <w:color w:val="8899AA"/>
                <w:sz w:val="15"/>
              </w:rPr>
              <w:t>PARK SIZE CAP</w:t>
            </w:r>
            <w:r>
              <w:rPr>
                <w:color w:val="8899AA"/>
                <w:sz w:val="15"/>
              </w:rPr>
              <w:br/>
            </w:r>
            <w:r>
              <w:rPr>
                <w:b/>
                <w:color w:val="C9A432"/>
                <w:sz w:val="28"/>
              </w:rPr>
              <w:t>≤ 8 MW</w:t>
            </w:r>
            <w:r>
              <w:rPr>
                <w:b/>
                <w:color w:val="C9A432"/>
                <w:sz w:val="28"/>
              </w:rPr>
              <w:br/>
            </w:r>
            <w:r>
              <w:rPr>
                <w:color w:val="667788"/>
                <w:sz w:val="15"/>
              </w:rPr>
              <w:t>Standard EAC connection tier</w:t>
            </w:r>
          </w:p>
        </w:tc>
      </w:tr>
      <w:tr w:rsidR="006B4F28" w14:paraId="2F4E27DE" w14:textId="77777777">
        <w:tc>
          <w:tcPr>
            <w:tcW w:w="2493" w:type="dxa"/>
            <w:shd w:val="clear" w:color="auto" w:fill="1A365D"/>
          </w:tcPr>
          <w:p w14:paraId="51859D4D" w14:textId="77777777" w:rsidR="006B4F28" w:rsidRDefault="006B4F28">
            <w:pPr>
              <w:spacing w:before="20" w:after="20"/>
            </w:pPr>
          </w:p>
        </w:tc>
        <w:tc>
          <w:tcPr>
            <w:tcW w:w="2493" w:type="dxa"/>
            <w:shd w:val="clear" w:color="auto" w:fill="1A365D"/>
          </w:tcPr>
          <w:p w14:paraId="0DF07D26" w14:textId="77777777" w:rsidR="006B4F28" w:rsidRDefault="006B4F28">
            <w:pPr>
              <w:spacing w:before="20" w:after="20"/>
            </w:pPr>
          </w:p>
        </w:tc>
        <w:tc>
          <w:tcPr>
            <w:tcW w:w="2493" w:type="dxa"/>
            <w:shd w:val="clear" w:color="auto" w:fill="1A365D"/>
          </w:tcPr>
          <w:p w14:paraId="5DFDDD0A" w14:textId="77777777" w:rsidR="006B4F28" w:rsidRDefault="006B4F28">
            <w:pPr>
              <w:spacing w:before="20" w:after="20"/>
            </w:pPr>
          </w:p>
        </w:tc>
        <w:tc>
          <w:tcPr>
            <w:tcW w:w="2493" w:type="dxa"/>
            <w:shd w:val="clear" w:color="auto" w:fill="1A365D"/>
          </w:tcPr>
          <w:p w14:paraId="6F15B859" w14:textId="77777777" w:rsidR="006B4F28" w:rsidRDefault="006B4F28">
            <w:pPr>
              <w:spacing w:before="20" w:after="20"/>
            </w:pPr>
          </w:p>
        </w:tc>
      </w:tr>
    </w:tbl>
    <w:p w14:paraId="645C3B19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6B4F28" w14:paraId="5A2F2C1C" w14:textId="77777777">
        <w:tc>
          <w:tcPr>
            <w:tcW w:w="4986" w:type="dxa"/>
            <w:shd w:val="clear" w:color="auto" w:fill="F8FAFC"/>
          </w:tcPr>
          <w:p w14:paraId="41542AEA" w14:textId="77777777" w:rsidR="006B4F28" w:rsidRDefault="00000000">
            <w:pPr>
              <w:spacing w:before="40" w:after="60"/>
            </w:pPr>
            <w:r>
              <w:rPr>
                <w:b/>
                <w:color w:val="1A365D"/>
                <w:sz w:val="16"/>
              </w:rPr>
              <w:t>MODEL A · 4H HYBRID</w:t>
            </w:r>
            <w:r>
              <w:rPr>
                <w:b/>
                <w:color w:val="1A365D"/>
                <w:sz w:val="16"/>
              </w:rPr>
              <w:br/>
            </w:r>
            <w:r>
              <w:rPr>
                <w:b/>
                <w:color w:val="1A365D"/>
              </w:rPr>
              <w:t>Hybrid PV + BESS Connection</w:t>
            </w:r>
            <w:r>
              <w:rPr>
                <w:b/>
                <w:color w:val="1A365D"/>
              </w:rPr>
              <w:br/>
            </w:r>
            <w:r>
              <w:rPr>
                <w:color w:val="404040"/>
                <w:sz w:val="18"/>
              </w:rPr>
              <w:t>Standard hybrid grid licence. PV exports directly during daytime at DAM rates. BESS captures curtailed energy (~65% curtailment) and discharges at evening peak. Dual revenue: direct PV sales + BESS arbitrage.</w:t>
            </w:r>
            <w:r>
              <w:rPr>
                <w:color w:val="404040"/>
                <w:sz w:val="18"/>
              </w:rPr>
              <w:br/>
            </w:r>
            <w:r>
              <w:rPr>
                <w:b/>
                <w:color w:val="1A365D"/>
                <w:sz w:val="17"/>
              </w:rPr>
              <w:t>☀ PV 35% → Grid  +  🔋 65% curtailed → BESS  →  🌙 €183/MWh night</w:t>
            </w:r>
          </w:p>
        </w:tc>
        <w:tc>
          <w:tcPr>
            <w:tcW w:w="4986" w:type="dxa"/>
            <w:shd w:val="clear" w:color="auto" w:fill="F8FAFC"/>
          </w:tcPr>
          <w:p w14:paraId="54FF1E03" w14:textId="77777777" w:rsidR="006B4F28" w:rsidRDefault="00000000">
            <w:pPr>
              <w:spacing w:before="40" w:after="60"/>
            </w:pPr>
            <w:r>
              <w:rPr>
                <w:b/>
                <w:color w:val="1A365D"/>
                <w:sz w:val="16"/>
              </w:rPr>
              <w:t>MODEL B · 8H FLEXIBLE</w:t>
            </w:r>
            <w:r>
              <w:rPr>
                <w:b/>
                <w:color w:val="1A365D"/>
                <w:sz w:val="16"/>
              </w:rPr>
              <w:br/>
            </w:r>
            <w:r>
              <w:rPr>
                <w:b/>
                <w:color w:val="1A365D"/>
              </w:rPr>
              <w:t>Flexible Nighttime-Only Dispatch</w:t>
            </w:r>
            <w:r>
              <w:rPr>
                <w:b/>
                <w:color w:val="1A365D"/>
              </w:rPr>
              <w:br/>
            </w:r>
            <w:r>
              <w:rPr>
                <w:color w:val="404040"/>
                <w:sz w:val="18"/>
              </w:rPr>
              <w:t>CERA flexible connection: zero daytime grid export. 100% of PV generation flows into BESS. All energy discharged overnight at DAM peak. Operationally simpler; eliminates midday price exposure; larger BESS required (8h duration).</w:t>
            </w:r>
            <w:r>
              <w:rPr>
                <w:color w:val="404040"/>
                <w:sz w:val="18"/>
              </w:rPr>
              <w:br/>
            </w:r>
            <w:r>
              <w:rPr>
                <w:b/>
                <w:color w:val="1A365D"/>
                <w:sz w:val="17"/>
              </w:rPr>
              <w:t>☀ 100% PV → BESS  →  🌙 100% night dispatch  →  €183/MWh</w:t>
            </w:r>
          </w:p>
        </w:tc>
      </w:tr>
    </w:tbl>
    <w:p w14:paraId="5EBC11E6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B4F28" w14:paraId="6EECA7CB" w14:textId="77777777">
        <w:tc>
          <w:tcPr>
            <w:tcW w:w="9972" w:type="dxa"/>
            <w:shd w:val="clear" w:color="auto" w:fill="FFF8E6"/>
          </w:tcPr>
          <w:p w14:paraId="70079BB0" w14:textId="77777777" w:rsidR="006B4F28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 xml:space="preserve">⚡  Why nighttime dispatch?  </w:t>
            </w:r>
            <w:r>
              <w:rPr>
                <w:color w:val="92400E"/>
                <w:sz w:val="18"/>
              </w:rPr>
              <w:t xml:space="preserve">TSOC DAM sample (134 trading days, Oct 2025–Feb 2026): </w:t>
            </w:r>
            <w:r>
              <w:rPr>
                <w:b/>
                <w:color w:val="92400E"/>
                <w:sz w:val="18"/>
              </w:rPr>
              <w:t xml:space="preserve">57 of 134 days recorded zero or negative midday prices. </w:t>
            </w:r>
            <w:r>
              <w:rPr>
                <w:color w:val="92400E"/>
                <w:sz w:val="18"/>
              </w:rPr>
              <w:t>Evening peak averaged €182.99/MWh vs €101.13/MWh at midday — an 81% premium. BESS-backed nighttime dispatch eliminates midday price risk entirely.</w:t>
            </w:r>
          </w:p>
        </w:tc>
      </w:tr>
    </w:tbl>
    <w:p w14:paraId="07EE1681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B4F28" w14:paraId="1F5F5D32" w14:textId="77777777">
        <w:tc>
          <w:tcPr>
            <w:tcW w:w="9972" w:type="dxa"/>
            <w:shd w:val="clear" w:color="auto" w:fill="1A365D"/>
          </w:tcPr>
          <w:p w14:paraId="53E1FACD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8"/>
              </w:rPr>
              <w:t xml:space="preserve">MODEL A — 4-HOUR HYBRID CONNECTION  </w:t>
            </w:r>
            <w:r>
              <w:rPr>
                <w:color w:val="AABBCC"/>
                <w:sz w:val="16"/>
              </w:rPr>
              <w:t>PV day sales + BESS curtailment arbitrage · Linyang LFP 4h</w:t>
            </w:r>
          </w:p>
        </w:tc>
      </w:tr>
    </w:tbl>
    <w:p w14:paraId="28870F06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5"/>
        <w:gridCol w:w="2011"/>
        <w:gridCol w:w="2011"/>
        <w:gridCol w:w="2011"/>
      </w:tblGrid>
      <w:tr w:rsidR="006B4F28" w14:paraId="6E818562" w14:textId="77777777">
        <w:tc>
          <w:tcPr>
            <w:tcW w:w="4176" w:type="dxa"/>
            <w:shd w:val="clear" w:color="auto" w:fill="1A365D"/>
          </w:tcPr>
          <w:p w14:paraId="60581412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7"/>
              </w:rPr>
              <w:t>Metric</w:t>
            </w:r>
          </w:p>
        </w:tc>
        <w:tc>
          <w:tcPr>
            <w:tcW w:w="2016" w:type="dxa"/>
            <w:shd w:val="clear" w:color="auto" w:fill="1A365D"/>
          </w:tcPr>
          <w:p w14:paraId="2E06EDE7" w14:textId="77777777" w:rsidR="006B4F28" w:rsidRDefault="00000000">
            <w:pPr>
              <w:spacing w:before="30" w:after="30"/>
              <w:jc w:val="right"/>
            </w:pPr>
            <w:r>
              <w:rPr>
                <w:b/>
                <w:color w:val="FFFFFF"/>
                <w:sz w:val="17"/>
              </w:rPr>
              <w:t>1 MW + 4 MWh</w:t>
            </w:r>
          </w:p>
        </w:tc>
        <w:tc>
          <w:tcPr>
            <w:tcW w:w="2016" w:type="dxa"/>
            <w:shd w:val="clear" w:color="auto" w:fill="1A365D"/>
          </w:tcPr>
          <w:p w14:paraId="5AE177F4" w14:textId="77777777" w:rsidR="006B4F28" w:rsidRDefault="00000000">
            <w:pPr>
              <w:spacing w:before="30" w:after="30"/>
              <w:jc w:val="right"/>
            </w:pPr>
            <w:r>
              <w:rPr>
                <w:b/>
                <w:color w:val="FFFFFF"/>
                <w:sz w:val="17"/>
              </w:rPr>
              <w:t>2.5 MW + 10 MWh</w:t>
            </w:r>
          </w:p>
        </w:tc>
        <w:tc>
          <w:tcPr>
            <w:tcW w:w="2016" w:type="dxa"/>
            <w:shd w:val="clear" w:color="auto" w:fill="1A365D"/>
          </w:tcPr>
          <w:p w14:paraId="16C3BEF5" w14:textId="77777777" w:rsidR="006B4F28" w:rsidRDefault="00000000">
            <w:pPr>
              <w:spacing w:before="30" w:after="30"/>
              <w:jc w:val="right"/>
            </w:pPr>
            <w:r>
              <w:rPr>
                <w:b/>
                <w:color w:val="FFFFFF"/>
                <w:sz w:val="17"/>
              </w:rPr>
              <w:t>5 MW + 20 MWh</w:t>
            </w:r>
          </w:p>
        </w:tc>
      </w:tr>
      <w:tr w:rsidR="006B4F28" w14:paraId="2B031405" w14:textId="77777777">
        <w:tc>
          <w:tcPr>
            <w:tcW w:w="10224" w:type="dxa"/>
            <w:gridSpan w:val="4"/>
            <w:shd w:val="clear" w:color="auto" w:fill="EEF3FB"/>
          </w:tcPr>
          <w:p w14:paraId="79E6EC45" w14:textId="77777777" w:rsidR="006B4F28" w:rsidRDefault="00000000">
            <w:pPr>
              <w:spacing w:before="20" w:after="20"/>
            </w:pPr>
            <w:r>
              <w:rPr>
                <w:b/>
                <w:color w:val="1A365D"/>
                <w:sz w:val="15"/>
              </w:rPr>
              <w:t>CAPITAL EXPENDITURE</w:t>
            </w:r>
          </w:p>
        </w:tc>
      </w:tr>
      <w:tr w:rsidR="006B4F28" w14:paraId="69E0EC51" w14:textId="77777777">
        <w:tc>
          <w:tcPr>
            <w:tcW w:w="4176" w:type="dxa"/>
          </w:tcPr>
          <w:p w14:paraId="3023CE85" w14:textId="77777777" w:rsidR="006B4F28" w:rsidRPr="00EB23DD" w:rsidRDefault="00000000">
            <w:pPr>
              <w:spacing w:before="25" w:after="25"/>
              <w:rPr>
                <w:lang w:val="sv-SE"/>
              </w:rPr>
            </w:pPr>
            <w:r w:rsidRPr="00EB23DD">
              <w:rPr>
                <w:color w:val="404040"/>
                <w:sz w:val="19"/>
                <w:lang w:val="sv-SE"/>
              </w:rPr>
              <w:t>PV EPC — AE Solar Meteor TOPCon (€720/kWp)</w:t>
            </w:r>
          </w:p>
        </w:tc>
        <w:tc>
          <w:tcPr>
            <w:tcW w:w="2016" w:type="dxa"/>
          </w:tcPr>
          <w:p w14:paraId="68B6A1D3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€720,000</w:t>
            </w:r>
          </w:p>
        </w:tc>
        <w:tc>
          <w:tcPr>
            <w:tcW w:w="2016" w:type="dxa"/>
          </w:tcPr>
          <w:p w14:paraId="416B0FD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€1,800,000</w:t>
            </w:r>
          </w:p>
        </w:tc>
        <w:tc>
          <w:tcPr>
            <w:tcW w:w="2016" w:type="dxa"/>
          </w:tcPr>
          <w:p w14:paraId="434C86EC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€3,600,000</w:t>
            </w:r>
          </w:p>
        </w:tc>
      </w:tr>
      <w:tr w:rsidR="006B4F28" w14:paraId="4A4F416F" w14:textId="77777777">
        <w:tc>
          <w:tcPr>
            <w:tcW w:w="4176" w:type="dxa"/>
          </w:tcPr>
          <w:p w14:paraId="74D6BE6F" w14:textId="77777777" w:rsidR="006B4F28" w:rsidRPr="00EB23DD" w:rsidRDefault="00000000">
            <w:pPr>
              <w:spacing w:before="25" w:after="25"/>
              <w:rPr>
                <w:lang w:val="sv-SE"/>
              </w:rPr>
            </w:pPr>
            <w:r w:rsidRPr="00EB23DD">
              <w:rPr>
                <w:color w:val="404040"/>
                <w:sz w:val="19"/>
                <w:lang w:val="sv-SE"/>
              </w:rPr>
              <w:t>BESS EPC — Linyang LFP 8h (V4 internal × 1.40 margin)</w:t>
            </w:r>
          </w:p>
        </w:tc>
        <w:tc>
          <w:tcPr>
            <w:tcW w:w="2016" w:type="dxa"/>
          </w:tcPr>
          <w:p w14:paraId="6D548E73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</w:t>
            </w:r>
            <w:proofErr w:type="gramStart"/>
            <w:r>
              <w:rPr>
                <w:color w:val="404040"/>
                <w:sz w:val="19"/>
              </w:rPr>
              <w:t>600,000  (</w:t>
            </w:r>
            <w:proofErr w:type="gramEnd"/>
            <w:r>
              <w:rPr>
                <w:color w:val="404040"/>
                <w:sz w:val="19"/>
              </w:rPr>
              <w:t>€150k/MWh)</w:t>
            </w:r>
          </w:p>
        </w:tc>
        <w:tc>
          <w:tcPr>
            <w:tcW w:w="2016" w:type="dxa"/>
          </w:tcPr>
          <w:p w14:paraId="5FE9C1CB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€1,250,000  (€125k/MWh)</w:t>
            </w:r>
          </w:p>
        </w:tc>
        <w:tc>
          <w:tcPr>
            <w:tcW w:w="2016" w:type="dxa"/>
          </w:tcPr>
          <w:p w14:paraId="25BC77D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€2,400,000  (€120k/MWh)</w:t>
            </w:r>
          </w:p>
        </w:tc>
      </w:tr>
      <w:tr w:rsidR="006B4F28" w14:paraId="3645B4C3" w14:textId="77777777">
        <w:tc>
          <w:tcPr>
            <w:tcW w:w="4176" w:type="dxa"/>
          </w:tcPr>
          <w:p w14:paraId="5D8E2B98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RTB licence acquisition (€380k/MW)</w:t>
            </w:r>
          </w:p>
        </w:tc>
        <w:tc>
          <w:tcPr>
            <w:tcW w:w="2016" w:type="dxa"/>
          </w:tcPr>
          <w:p w14:paraId="322B521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€380,000</w:t>
            </w:r>
          </w:p>
        </w:tc>
        <w:tc>
          <w:tcPr>
            <w:tcW w:w="2016" w:type="dxa"/>
          </w:tcPr>
          <w:p w14:paraId="42FA11F4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€950,000</w:t>
            </w:r>
          </w:p>
        </w:tc>
        <w:tc>
          <w:tcPr>
            <w:tcW w:w="2016" w:type="dxa"/>
          </w:tcPr>
          <w:p w14:paraId="0E8F9B4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€1,900,000</w:t>
            </w:r>
          </w:p>
        </w:tc>
      </w:tr>
      <w:tr w:rsidR="006B4F28" w14:paraId="7EF60B22" w14:textId="77777777">
        <w:tc>
          <w:tcPr>
            <w:tcW w:w="4176" w:type="dxa"/>
          </w:tcPr>
          <w:p w14:paraId="2B3463E0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EAC grid connection terms (€80k/MW)</w:t>
            </w:r>
          </w:p>
        </w:tc>
        <w:tc>
          <w:tcPr>
            <w:tcW w:w="2016" w:type="dxa"/>
          </w:tcPr>
          <w:p w14:paraId="13E84359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€80,000</w:t>
            </w:r>
          </w:p>
        </w:tc>
        <w:tc>
          <w:tcPr>
            <w:tcW w:w="2016" w:type="dxa"/>
          </w:tcPr>
          <w:p w14:paraId="506C5EE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€200,000</w:t>
            </w:r>
          </w:p>
        </w:tc>
        <w:tc>
          <w:tcPr>
            <w:tcW w:w="2016" w:type="dxa"/>
          </w:tcPr>
          <w:p w14:paraId="6882DA1A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€400,000</w:t>
            </w:r>
          </w:p>
        </w:tc>
      </w:tr>
      <w:tr w:rsidR="006B4F28" w14:paraId="21F86C83" w14:textId="77777777">
        <w:tc>
          <w:tcPr>
            <w:tcW w:w="4176" w:type="dxa"/>
          </w:tcPr>
          <w:p w14:paraId="40160293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MV cable to substation (1 km × €20k/km — site variable)</w:t>
            </w:r>
          </w:p>
        </w:tc>
        <w:tc>
          <w:tcPr>
            <w:tcW w:w="2016" w:type="dxa"/>
          </w:tcPr>
          <w:p w14:paraId="276D988C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€20,000</w:t>
            </w:r>
          </w:p>
        </w:tc>
        <w:tc>
          <w:tcPr>
            <w:tcW w:w="2016" w:type="dxa"/>
          </w:tcPr>
          <w:p w14:paraId="3281EFDA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€20,000</w:t>
            </w:r>
          </w:p>
        </w:tc>
        <w:tc>
          <w:tcPr>
            <w:tcW w:w="2016" w:type="dxa"/>
          </w:tcPr>
          <w:p w14:paraId="3DDB527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€20,000</w:t>
            </w:r>
          </w:p>
        </w:tc>
      </w:tr>
      <w:tr w:rsidR="006B4F28" w14:paraId="42764591" w14:textId="77777777">
        <w:tc>
          <w:tcPr>
            <w:tcW w:w="4176" w:type="dxa"/>
          </w:tcPr>
          <w:p w14:paraId="5267B508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Permitting &amp; documentation</w:t>
            </w:r>
          </w:p>
        </w:tc>
        <w:tc>
          <w:tcPr>
            <w:tcW w:w="2016" w:type="dxa"/>
          </w:tcPr>
          <w:p w14:paraId="6F98CCC5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€35,000</w:t>
            </w:r>
          </w:p>
        </w:tc>
        <w:tc>
          <w:tcPr>
            <w:tcW w:w="2016" w:type="dxa"/>
          </w:tcPr>
          <w:p w14:paraId="53F48BB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€35,000</w:t>
            </w:r>
          </w:p>
        </w:tc>
        <w:tc>
          <w:tcPr>
            <w:tcW w:w="2016" w:type="dxa"/>
          </w:tcPr>
          <w:p w14:paraId="67A1BA55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€35,000</w:t>
            </w:r>
          </w:p>
        </w:tc>
      </w:tr>
      <w:tr w:rsidR="006B4F28" w14:paraId="71816653" w14:textId="77777777">
        <w:tc>
          <w:tcPr>
            <w:tcW w:w="4176" w:type="dxa"/>
            <w:shd w:val="clear" w:color="auto" w:fill="EEF3FB"/>
          </w:tcPr>
          <w:p w14:paraId="4E579AB9" w14:textId="77777777" w:rsidR="006B4F28" w:rsidRDefault="00000000">
            <w:pPr>
              <w:spacing w:before="25" w:after="25"/>
            </w:pPr>
            <w:r>
              <w:rPr>
                <w:b/>
                <w:color w:val="1A365D"/>
                <w:sz w:val="20"/>
              </w:rPr>
              <w:t>Total CAPEX</w:t>
            </w:r>
          </w:p>
        </w:tc>
        <w:tc>
          <w:tcPr>
            <w:tcW w:w="2016" w:type="dxa"/>
            <w:shd w:val="clear" w:color="auto" w:fill="EEF3FB"/>
          </w:tcPr>
          <w:p w14:paraId="11D79D40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20"/>
              </w:rPr>
              <w:t>€1,835,000</w:t>
            </w:r>
          </w:p>
        </w:tc>
        <w:tc>
          <w:tcPr>
            <w:tcW w:w="2016" w:type="dxa"/>
            <w:shd w:val="clear" w:color="auto" w:fill="EEF3FB"/>
          </w:tcPr>
          <w:p w14:paraId="17B86543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20"/>
              </w:rPr>
              <w:t>€4,255,000</w:t>
            </w:r>
          </w:p>
        </w:tc>
        <w:tc>
          <w:tcPr>
            <w:tcW w:w="2016" w:type="dxa"/>
            <w:shd w:val="clear" w:color="auto" w:fill="EEF3FB"/>
          </w:tcPr>
          <w:p w14:paraId="181179FC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20"/>
              </w:rPr>
              <w:t>€8,355,000</w:t>
            </w:r>
          </w:p>
        </w:tc>
      </w:tr>
      <w:tr w:rsidR="006B4F28" w14:paraId="7AC55C0A" w14:textId="77777777">
        <w:tc>
          <w:tcPr>
            <w:tcW w:w="10224" w:type="dxa"/>
            <w:gridSpan w:val="4"/>
            <w:shd w:val="clear" w:color="auto" w:fill="EEF3FB"/>
          </w:tcPr>
          <w:p w14:paraId="0C3F7DAF" w14:textId="77777777" w:rsidR="006B4F28" w:rsidRDefault="00000000">
            <w:pPr>
              <w:spacing w:before="20" w:after="20"/>
            </w:pPr>
            <w:r>
              <w:rPr>
                <w:b/>
                <w:color w:val="1A365D"/>
                <w:sz w:val="15"/>
              </w:rPr>
              <w:t>ANNUAL REVENUE (YEAR 1)</w:t>
            </w:r>
          </w:p>
        </w:tc>
      </w:tr>
      <w:tr w:rsidR="006B4F28" w14:paraId="63C99B34" w14:textId="77777777">
        <w:tc>
          <w:tcPr>
            <w:tcW w:w="4176" w:type="dxa"/>
          </w:tcPr>
          <w:p w14:paraId="0068F80D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PV production (AE Meteor · 2,150 kWh/kWp)</w:t>
            </w:r>
          </w:p>
        </w:tc>
        <w:tc>
          <w:tcPr>
            <w:tcW w:w="2016" w:type="dxa"/>
          </w:tcPr>
          <w:p w14:paraId="5600CD7C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2,150 MWh</w:t>
            </w:r>
          </w:p>
        </w:tc>
        <w:tc>
          <w:tcPr>
            <w:tcW w:w="2016" w:type="dxa"/>
          </w:tcPr>
          <w:p w14:paraId="77D7E1D1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5,375 MWh</w:t>
            </w:r>
          </w:p>
        </w:tc>
        <w:tc>
          <w:tcPr>
            <w:tcW w:w="2016" w:type="dxa"/>
          </w:tcPr>
          <w:p w14:paraId="2FFEFA00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10,750 MWh</w:t>
            </w:r>
          </w:p>
        </w:tc>
      </w:tr>
      <w:tr w:rsidR="006B4F28" w14:paraId="73B5E9D1" w14:textId="77777777">
        <w:tc>
          <w:tcPr>
            <w:tcW w:w="4176" w:type="dxa"/>
          </w:tcPr>
          <w:p w14:paraId="4854057D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BESS nighttime discharge (RTE 86.32% × 100% production)</w:t>
            </w:r>
          </w:p>
        </w:tc>
        <w:tc>
          <w:tcPr>
            <w:tcW w:w="2016" w:type="dxa"/>
          </w:tcPr>
          <w:p w14:paraId="5A635FF4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1,146 MWh</w:t>
            </w:r>
          </w:p>
        </w:tc>
        <w:tc>
          <w:tcPr>
            <w:tcW w:w="2016" w:type="dxa"/>
          </w:tcPr>
          <w:p w14:paraId="316501C9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2,865 MWh</w:t>
            </w:r>
          </w:p>
        </w:tc>
        <w:tc>
          <w:tcPr>
            <w:tcW w:w="2016" w:type="dxa"/>
          </w:tcPr>
          <w:p w14:paraId="0B025650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5,730 MWh</w:t>
            </w:r>
          </w:p>
        </w:tc>
      </w:tr>
      <w:tr w:rsidR="006B4F28" w14:paraId="75E4FBEE" w14:textId="77777777">
        <w:tc>
          <w:tcPr>
            <w:tcW w:w="4176" w:type="dxa"/>
          </w:tcPr>
          <w:p w14:paraId="24D7DDF4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Gross revenue (DAM evening peak × €182.99/MWh)</w:t>
            </w:r>
          </w:p>
        </w:tc>
        <w:tc>
          <w:tcPr>
            <w:tcW w:w="2016" w:type="dxa"/>
          </w:tcPr>
          <w:p w14:paraId="086AAA31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€209,708</w:t>
            </w:r>
          </w:p>
        </w:tc>
        <w:tc>
          <w:tcPr>
            <w:tcW w:w="2016" w:type="dxa"/>
          </w:tcPr>
          <w:p w14:paraId="7F0FD763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€524,269</w:t>
            </w:r>
          </w:p>
        </w:tc>
        <w:tc>
          <w:tcPr>
            <w:tcW w:w="2016" w:type="dxa"/>
          </w:tcPr>
          <w:p w14:paraId="1DC6FD02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€1,048,538</w:t>
            </w:r>
          </w:p>
        </w:tc>
      </w:tr>
      <w:tr w:rsidR="006B4F28" w14:paraId="7505CAA5" w14:textId="77777777">
        <w:tc>
          <w:tcPr>
            <w:tcW w:w="4176" w:type="dxa"/>
          </w:tcPr>
          <w:p w14:paraId="6CA1E13B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lastRenderedPageBreak/>
              <w:t>Less: aggregator fee (10%)</w:t>
            </w:r>
          </w:p>
        </w:tc>
        <w:tc>
          <w:tcPr>
            <w:tcW w:w="2016" w:type="dxa"/>
          </w:tcPr>
          <w:p w14:paraId="194A735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−€31,572</w:t>
            </w:r>
          </w:p>
        </w:tc>
        <w:tc>
          <w:tcPr>
            <w:tcW w:w="2016" w:type="dxa"/>
          </w:tcPr>
          <w:p w14:paraId="5838BC62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−€78,930</w:t>
            </w:r>
          </w:p>
        </w:tc>
        <w:tc>
          <w:tcPr>
            <w:tcW w:w="2016" w:type="dxa"/>
          </w:tcPr>
          <w:p w14:paraId="139FD046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−€157,860</w:t>
            </w:r>
          </w:p>
        </w:tc>
      </w:tr>
      <w:tr w:rsidR="006B4F28" w14:paraId="25412F63" w14:textId="77777777">
        <w:tc>
          <w:tcPr>
            <w:tcW w:w="4176" w:type="dxa"/>
            <w:shd w:val="clear" w:color="auto" w:fill="EEF6EE"/>
          </w:tcPr>
          <w:p w14:paraId="7A3C0523" w14:textId="77777777" w:rsidR="006B4F28" w:rsidRDefault="00000000">
            <w:pPr>
              <w:spacing w:before="25" w:after="25"/>
            </w:pPr>
            <w:r>
              <w:rPr>
                <w:b/>
                <w:color w:val="1E7D4A"/>
                <w:sz w:val="20"/>
              </w:rPr>
              <w:t>Net Annual Revenue</w:t>
            </w:r>
          </w:p>
        </w:tc>
        <w:tc>
          <w:tcPr>
            <w:tcW w:w="2016" w:type="dxa"/>
            <w:shd w:val="clear" w:color="auto" w:fill="EEF6EE"/>
          </w:tcPr>
          <w:p w14:paraId="6B9E10D0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€284,148</w:t>
            </w:r>
          </w:p>
        </w:tc>
        <w:tc>
          <w:tcPr>
            <w:tcW w:w="2016" w:type="dxa"/>
            <w:shd w:val="clear" w:color="auto" w:fill="EEF6EE"/>
          </w:tcPr>
          <w:p w14:paraId="29F7FA91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€710,370</w:t>
            </w:r>
          </w:p>
        </w:tc>
        <w:tc>
          <w:tcPr>
            <w:tcW w:w="2016" w:type="dxa"/>
            <w:shd w:val="clear" w:color="auto" w:fill="EEF6EE"/>
          </w:tcPr>
          <w:p w14:paraId="29546205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€1,420,739</w:t>
            </w:r>
          </w:p>
        </w:tc>
      </w:tr>
      <w:tr w:rsidR="006B4F28" w14:paraId="7DD39002" w14:textId="77777777">
        <w:tc>
          <w:tcPr>
            <w:tcW w:w="10224" w:type="dxa"/>
            <w:gridSpan w:val="4"/>
            <w:shd w:val="clear" w:color="auto" w:fill="EEF3FB"/>
          </w:tcPr>
          <w:p w14:paraId="50C3AD13" w14:textId="77777777" w:rsidR="006B4F28" w:rsidRDefault="00000000">
            <w:pPr>
              <w:spacing w:before="20" w:after="20"/>
            </w:pPr>
            <w:r>
              <w:rPr>
                <w:b/>
                <w:color w:val="1A365D"/>
                <w:sz w:val="15"/>
              </w:rPr>
              <w:t>OPERATING COSTS &amp; EBITDA</w:t>
            </w:r>
          </w:p>
        </w:tc>
      </w:tr>
      <w:tr w:rsidR="006B4F28" w14:paraId="100911C7" w14:textId="77777777">
        <w:tc>
          <w:tcPr>
            <w:tcW w:w="4176" w:type="dxa"/>
          </w:tcPr>
          <w:p w14:paraId="3848A253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PV O&amp;M (€15/kWp/yr · cleaning + inspection)</w:t>
            </w:r>
          </w:p>
        </w:tc>
        <w:tc>
          <w:tcPr>
            <w:tcW w:w="2016" w:type="dxa"/>
          </w:tcPr>
          <w:p w14:paraId="55881EE5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−€15,000</w:t>
            </w:r>
          </w:p>
        </w:tc>
        <w:tc>
          <w:tcPr>
            <w:tcW w:w="2016" w:type="dxa"/>
          </w:tcPr>
          <w:p w14:paraId="621621B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−€37,500</w:t>
            </w:r>
          </w:p>
        </w:tc>
        <w:tc>
          <w:tcPr>
            <w:tcW w:w="2016" w:type="dxa"/>
          </w:tcPr>
          <w:p w14:paraId="061934B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−€75,000</w:t>
            </w:r>
          </w:p>
        </w:tc>
      </w:tr>
      <w:tr w:rsidR="006B4F28" w14:paraId="63A8ACEA" w14:textId="77777777">
        <w:tc>
          <w:tcPr>
            <w:tcW w:w="4176" w:type="dxa"/>
          </w:tcPr>
          <w:p w14:paraId="46FBADF9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BESS LTSA (€1,740/MWh/yr · 97% availability · 15yr)</w:t>
            </w:r>
          </w:p>
        </w:tc>
        <w:tc>
          <w:tcPr>
            <w:tcW w:w="2016" w:type="dxa"/>
          </w:tcPr>
          <w:p w14:paraId="404E0984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−€6,960</w:t>
            </w:r>
          </w:p>
        </w:tc>
        <w:tc>
          <w:tcPr>
            <w:tcW w:w="2016" w:type="dxa"/>
          </w:tcPr>
          <w:p w14:paraId="0CCFE18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−€17,400</w:t>
            </w:r>
          </w:p>
        </w:tc>
        <w:tc>
          <w:tcPr>
            <w:tcW w:w="2016" w:type="dxa"/>
          </w:tcPr>
          <w:p w14:paraId="1E0C9479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−€34,800</w:t>
            </w:r>
          </w:p>
        </w:tc>
      </w:tr>
      <w:tr w:rsidR="006B4F28" w14:paraId="716D7870" w14:textId="77777777">
        <w:tc>
          <w:tcPr>
            <w:tcW w:w="4176" w:type="dxa"/>
            <w:shd w:val="clear" w:color="auto" w:fill="EEF6EE"/>
          </w:tcPr>
          <w:p w14:paraId="58FE675F" w14:textId="77777777" w:rsidR="006B4F28" w:rsidRDefault="00000000">
            <w:pPr>
              <w:spacing w:before="25" w:after="25"/>
            </w:pPr>
            <w:r>
              <w:rPr>
                <w:b/>
                <w:color w:val="1E7D4A"/>
                <w:sz w:val="20"/>
              </w:rPr>
              <w:t>EBITDA</w:t>
            </w:r>
          </w:p>
        </w:tc>
        <w:tc>
          <w:tcPr>
            <w:tcW w:w="2016" w:type="dxa"/>
            <w:shd w:val="clear" w:color="auto" w:fill="EEF6EE"/>
          </w:tcPr>
          <w:p w14:paraId="32D0839A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€262,188</w:t>
            </w:r>
          </w:p>
        </w:tc>
        <w:tc>
          <w:tcPr>
            <w:tcW w:w="2016" w:type="dxa"/>
            <w:shd w:val="clear" w:color="auto" w:fill="EEF6EE"/>
          </w:tcPr>
          <w:p w14:paraId="0455677E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€655,470</w:t>
            </w:r>
          </w:p>
        </w:tc>
        <w:tc>
          <w:tcPr>
            <w:tcW w:w="2016" w:type="dxa"/>
            <w:shd w:val="clear" w:color="auto" w:fill="EEF6EE"/>
          </w:tcPr>
          <w:p w14:paraId="5B6FF742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€1,310,939</w:t>
            </w:r>
          </w:p>
        </w:tc>
      </w:tr>
      <w:tr w:rsidR="006B4F28" w14:paraId="0CC94C2B" w14:textId="77777777">
        <w:tc>
          <w:tcPr>
            <w:tcW w:w="4176" w:type="dxa"/>
            <w:shd w:val="clear" w:color="auto" w:fill="1A365D"/>
          </w:tcPr>
          <w:p w14:paraId="0FB25C3F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7"/>
              </w:rPr>
              <w:t>Return Metrics</w:t>
            </w:r>
          </w:p>
        </w:tc>
        <w:tc>
          <w:tcPr>
            <w:tcW w:w="2016" w:type="dxa"/>
            <w:shd w:val="clear" w:color="auto" w:fill="1A365D"/>
          </w:tcPr>
          <w:p w14:paraId="4889A498" w14:textId="77777777" w:rsidR="006B4F28" w:rsidRDefault="006B4F28">
            <w:pPr>
              <w:spacing w:before="30" w:after="30"/>
              <w:jc w:val="right"/>
            </w:pPr>
          </w:p>
        </w:tc>
        <w:tc>
          <w:tcPr>
            <w:tcW w:w="2016" w:type="dxa"/>
            <w:shd w:val="clear" w:color="auto" w:fill="1A365D"/>
          </w:tcPr>
          <w:p w14:paraId="637C2E8A" w14:textId="77777777" w:rsidR="006B4F28" w:rsidRDefault="006B4F28">
            <w:pPr>
              <w:spacing w:before="30" w:after="30"/>
              <w:jc w:val="right"/>
            </w:pPr>
          </w:p>
        </w:tc>
        <w:tc>
          <w:tcPr>
            <w:tcW w:w="2016" w:type="dxa"/>
            <w:shd w:val="clear" w:color="auto" w:fill="1A365D"/>
          </w:tcPr>
          <w:p w14:paraId="2E123D60" w14:textId="77777777" w:rsidR="006B4F28" w:rsidRDefault="006B4F28">
            <w:pPr>
              <w:spacing w:before="30" w:after="30"/>
              <w:jc w:val="right"/>
            </w:pPr>
          </w:p>
        </w:tc>
      </w:tr>
      <w:tr w:rsidR="006B4F28" w14:paraId="43AC647A" w14:textId="77777777">
        <w:tc>
          <w:tcPr>
            <w:tcW w:w="4176" w:type="dxa"/>
          </w:tcPr>
          <w:p w14:paraId="217BBB41" w14:textId="77777777" w:rsidR="006B4F28" w:rsidRDefault="00000000">
            <w:pPr>
              <w:spacing w:before="25" w:after="25"/>
            </w:pPr>
            <w:r>
              <w:rPr>
                <w:b/>
                <w:color w:val="1A365D"/>
                <w:sz w:val="19"/>
              </w:rPr>
              <w:t>Unlevered payback</w:t>
            </w:r>
          </w:p>
        </w:tc>
        <w:tc>
          <w:tcPr>
            <w:tcW w:w="2016" w:type="dxa"/>
          </w:tcPr>
          <w:p w14:paraId="22CB77D8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19"/>
              </w:rPr>
              <w:t>7.0 yr</w:t>
            </w:r>
          </w:p>
        </w:tc>
        <w:tc>
          <w:tcPr>
            <w:tcW w:w="2016" w:type="dxa"/>
          </w:tcPr>
          <w:p w14:paraId="72C15B07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19"/>
              </w:rPr>
              <w:t>6.5 yr</w:t>
            </w:r>
          </w:p>
        </w:tc>
        <w:tc>
          <w:tcPr>
            <w:tcW w:w="2016" w:type="dxa"/>
          </w:tcPr>
          <w:p w14:paraId="7ECE1945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19"/>
              </w:rPr>
              <w:t>6.4 yr</w:t>
            </w:r>
          </w:p>
        </w:tc>
      </w:tr>
      <w:tr w:rsidR="006B4F28" w14:paraId="5C7A85FB" w14:textId="77777777">
        <w:tc>
          <w:tcPr>
            <w:tcW w:w="4176" w:type="dxa"/>
          </w:tcPr>
          <w:p w14:paraId="47977243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Equity required (35% of CAPEX)</w:t>
            </w:r>
          </w:p>
        </w:tc>
        <w:tc>
          <w:tcPr>
            <w:tcW w:w="2016" w:type="dxa"/>
          </w:tcPr>
          <w:p w14:paraId="18075B4B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€642,250</w:t>
            </w:r>
          </w:p>
        </w:tc>
        <w:tc>
          <w:tcPr>
            <w:tcW w:w="2016" w:type="dxa"/>
          </w:tcPr>
          <w:p w14:paraId="6D4615C0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€1,489,250</w:t>
            </w:r>
          </w:p>
        </w:tc>
        <w:tc>
          <w:tcPr>
            <w:tcW w:w="2016" w:type="dxa"/>
          </w:tcPr>
          <w:p w14:paraId="34BD47DC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€2,924,250</w:t>
            </w:r>
          </w:p>
        </w:tc>
      </w:tr>
      <w:tr w:rsidR="006B4F28" w14:paraId="1C18D5FA" w14:textId="77777777">
        <w:tc>
          <w:tcPr>
            <w:tcW w:w="4176" w:type="dxa"/>
          </w:tcPr>
          <w:p w14:paraId="6372DDD3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Senior debt (65% · 5.5% p.a. · 12yr annuity)</w:t>
            </w:r>
          </w:p>
        </w:tc>
        <w:tc>
          <w:tcPr>
            <w:tcW w:w="2016" w:type="dxa"/>
          </w:tcPr>
          <w:p w14:paraId="48B4DA38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€1,192,750</w:t>
            </w:r>
          </w:p>
        </w:tc>
        <w:tc>
          <w:tcPr>
            <w:tcW w:w="2016" w:type="dxa"/>
          </w:tcPr>
          <w:p w14:paraId="5D2465C4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€2,765,750</w:t>
            </w:r>
          </w:p>
        </w:tc>
        <w:tc>
          <w:tcPr>
            <w:tcW w:w="2016" w:type="dxa"/>
          </w:tcPr>
          <w:p w14:paraId="5860FEB9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€5,430,750</w:t>
            </w:r>
          </w:p>
        </w:tc>
      </w:tr>
      <w:tr w:rsidR="006B4F28" w14:paraId="1988FDF4" w14:textId="77777777">
        <w:tc>
          <w:tcPr>
            <w:tcW w:w="4176" w:type="dxa"/>
          </w:tcPr>
          <w:p w14:paraId="7FD59854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Annual debt service</w:t>
            </w:r>
          </w:p>
        </w:tc>
        <w:tc>
          <w:tcPr>
            <w:tcW w:w="2016" w:type="dxa"/>
          </w:tcPr>
          <w:p w14:paraId="4041DDC7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−€138,394</w:t>
            </w:r>
          </w:p>
        </w:tc>
        <w:tc>
          <w:tcPr>
            <w:tcW w:w="2016" w:type="dxa"/>
          </w:tcPr>
          <w:p w14:paraId="39E60086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−€320,908</w:t>
            </w:r>
          </w:p>
        </w:tc>
        <w:tc>
          <w:tcPr>
            <w:tcW w:w="2016" w:type="dxa"/>
          </w:tcPr>
          <w:p w14:paraId="47AED75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−€630,126</w:t>
            </w:r>
          </w:p>
        </w:tc>
      </w:tr>
      <w:tr w:rsidR="006B4F28" w14:paraId="24C17382" w14:textId="77777777">
        <w:tc>
          <w:tcPr>
            <w:tcW w:w="4176" w:type="dxa"/>
          </w:tcPr>
          <w:p w14:paraId="37833416" w14:textId="77777777" w:rsidR="006B4F28" w:rsidRDefault="00000000">
            <w:pPr>
              <w:spacing w:before="25" w:after="25"/>
            </w:pPr>
            <w:r>
              <w:rPr>
                <w:b/>
                <w:color w:val="1E7D4A"/>
                <w:sz w:val="19"/>
              </w:rPr>
              <w:t>DSCR</w:t>
            </w:r>
          </w:p>
        </w:tc>
        <w:tc>
          <w:tcPr>
            <w:tcW w:w="2016" w:type="dxa"/>
          </w:tcPr>
          <w:p w14:paraId="3F71FD8B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19"/>
              </w:rPr>
              <w:t>1.89×</w:t>
            </w:r>
          </w:p>
        </w:tc>
        <w:tc>
          <w:tcPr>
            <w:tcW w:w="2016" w:type="dxa"/>
          </w:tcPr>
          <w:p w14:paraId="13189743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19"/>
              </w:rPr>
              <w:t>2.04×</w:t>
            </w:r>
          </w:p>
        </w:tc>
        <w:tc>
          <w:tcPr>
            <w:tcW w:w="2016" w:type="dxa"/>
          </w:tcPr>
          <w:p w14:paraId="316FB00B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19"/>
              </w:rPr>
              <w:t>2.08×</w:t>
            </w:r>
          </w:p>
        </w:tc>
      </w:tr>
      <w:tr w:rsidR="006B4F28" w14:paraId="2798748A" w14:textId="77777777">
        <w:tc>
          <w:tcPr>
            <w:tcW w:w="4176" w:type="dxa"/>
          </w:tcPr>
          <w:p w14:paraId="2C791014" w14:textId="77777777" w:rsidR="006B4F28" w:rsidRDefault="00000000">
            <w:pPr>
              <w:spacing w:before="25" w:after="25"/>
            </w:pPr>
            <w:r>
              <w:rPr>
                <w:color w:val="1E7D4A"/>
                <w:sz w:val="19"/>
              </w:rPr>
              <w:t>Net cash to equity (post 15% CIT)</w:t>
            </w:r>
          </w:p>
        </w:tc>
        <w:tc>
          <w:tcPr>
            <w:tcW w:w="2016" w:type="dxa"/>
          </w:tcPr>
          <w:p w14:paraId="3B6A9E8A" w14:textId="77777777" w:rsidR="006B4F28" w:rsidRDefault="00000000">
            <w:pPr>
              <w:spacing w:before="25" w:after="25"/>
              <w:jc w:val="right"/>
            </w:pPr>
            <w:r>
              <w:rPr>
                <w:color w:val="1E7D4A"/>
                <w:sz w:val="19"/>
              </w:rPr>
              <w:t>€118,987</w:t>
            </w:r>
          </w:p>
        </w:tc>
        <w:tc>
          <w:tcPr>
            <w:tcW w:w="2016" w:type="dxa"/>
          </w:tcPr>
          <w:p w14:paraId="0450F4B8" w14:textId="77777777" w:rsidR="006B4F28" w:rsidRDefault="00000000">
            <w:pPr>
              <w:spacing w:before="25" w:after="25"/>
              <w:jc w:val="right"/>
            </w:pPr>
            <w:r>
              <w:rPr>
                <w:color w:val="1E7D4A"/>
                <w:sz w:val="19"/>
              </w:rPr>
              <w:t>€316,290</w:t>
            </w:r>
          </w:p>
        </w:tc>
        <w:tc>
          <w:tcPr>
            <w:tcW w:w="2016" w:type="dxa"/>
          </w:tcPr>
          <w:p w14:paraId="30C8EF7E" w14:textId="77777777" w:rsidR="006B4F28" w:rsidRDefault="00000000">
            <w:pPr>
              <w:spacing w:before="25" w:after="25"/>
              <w:jc w:val="right"/>
            </w:pPr>
            <w:r>
              <w:rPr>
                <w:color w:val="1E7D4A"/>
                <w:sz w:val="19"/>
              </w:rPr>
              <w:t>€641,354</w:t>
            </w:r>
          </w:p>
        </w:tc>
      </w:tr>
      <w:tr w:rsidR="006B4F28" w14:paraId="6F0654E9" w14:textId="77777777">
        <w:tc>
          <w:tcPr>
            <w:tcW w:w="4176" w:type="dxa"/>
            <w:shd w:val="clear" w:color="auto" w:fill="FFF9E6"/>
          </w:tcPr>
          <w:p w14:paraId="1EBB9BB7" w14:textId="77777777" w:rsidR="006B4F28" w:rsidRDefault="00000000">
            <w:pPr>
              <w:spacing w:before="25" w:after="25"/>
            </w:pPr>
            <w:r>
              <w:rPr>
                <w:b/>
                <w:color w:val="9C7D22"/>
                <w:sz w:val="20"/>
              </w:rPr>
              <w:t>Equity payback (levered)</w:t>
            </w:r>
          </w:p>
        </w:tc>
        <w:tc>
          <w:tcPr>
            <w:tcW w:w="2016" w:type="dxa"/>
            <w:shd w:val="clear" w:color="auto" w:fill="FFF9E6"/>
          </w:tcPr>
          <w:p w14:paraId="1E517D32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9C7D22"/>
                <w:sz w:val="20"/>
              </w:rPr>
              <w:t>5.4 yr</w:t>
            </w:r>
          </w:p>
        </w:tc>
        <w:tc>
          <w:tcPr>
            <w:tcW w:w="2016" w:type="dxa"/>
            <w:shd w:val="clear" w:color="auto" w:fill="FFF9E6"/>
          </w:tcPr>
          <w:p w14:paraId="373CA61B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9C7D22"/>
                <w:sz w:val="20"/>
              </w:rPr>
              <w:t>4.7 yr</w:t>
            </w:r>
          </w:p>
        </w:tc>
        <w:tc>
          <w:tcPr>
            <w:tcW w:w="2016" w:type="dxa"/>
            <w:shd w:val="clear" w:color="auto" w:fill="FFF9E6"/>
          </w:tcPr>
          <w:p w14:paraId="2CBD2377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9C7D22"/>
                <w:sz w:val="20"/>
              </w:rPr>
              <w:t>4.6 yr</w:t>
            </w:r>
          </w:p>
        </w:tc>
      </w:tr>
    </w:tbl>
    <w:p w14:paraId="60F44FD3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B4F28" w14:paraId="06A06B65" w14:textId="77777777">
        <w:tc>
          <w:tcPr>
            <w:tcW w:w="9972" w:type="dxa"/>
            <w:shd w:val="clear" w:color="auto" w:fill="1A365D"/>
          </w:tcPr>
          <w:p w14:paraId="17A7421F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8"/>
              </w:rPr>
              <w:t xml:space="preserve">MODEL B — 8-HOUR FLEXIBLE CONNECTION  </w:t>
            </w:r>
            <w:r>
              <w:rPr>
                <w:color w:val="AABBCC"/>
                <w:sz w:val="16"/>
              </w:rPr>
              <w:t>100% nighttime dispatch · zero daytime export · Linyang LFP 8h</w:t>
            </w:r>
          </w:p>
        </w:tc>
      </w:tr>
    </w:tbl>
    <w:p w14:paraId="5344A3C8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5"/>
        <w:gridCol w:w="2011"/>
        <w:gridCol w:w="2011"/>
        <w:gridCol w:w="2011"/>
      </w:tblGrid>
      <w:tr w:rsidR="006B4F28" w14:paraId="5A90B685" w14:textId="77777777">
        <w:tc>
          <w:tcPr>
            <w:tcW w:w="4176" w:type="dxa"/>
            <w:shd w:val="clear" w:color="auto" w:fill="1A365D"/>
          </w:tcPr>
          <w:p w14:paraId="0B4C224D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7"/>
              </w:rPr>
              <w:t>Metric</w:t>
            </w:r>
          </w:p>
        </w:tc>
        <w:tc>
          <w:tcPr>
            <w:tcW w:w="2016" w:type="dxa"/>
            <w:shd w:val="clear" w:color="auto" w:fill="1A365D"/>
          </w:tcPr>
          <w:p w14:paraId="02CC9401" w14:textId="77777777" w:rsidR="006B4F28" w:rsidRDefault="00000000">
            <w:pPr>
              <w:spacing w:before="30" w:after="30"/>
              <w:jc w:val="right"/>
            </w:pPr>
            <w:r>
              <w:rPr>
                <w:b/>
                <w:color w:val="FFFFFF"/>
                <w:sz w:val="17"/>
              </w:rPr>
              <w:t>1 MW + 8 MWh</w:t>
            </w:r>
          </w:p>
        </w:tc>
        <w:tc>
          <w:tcPr>
            <w:tcW w:w="2016" w:type="dxa"/>
            <w:shd w:val="clear" w:color="auto" w:fill="1A365D"/>
          </w:tcPr>
          <w:p w14:paraId="7D56AE65" w14:textId="77777777" w:rsidR="006B4F28" w:rsidRDefault="00000000">
            <w:pPr>
              <w:spacing w:before="30" w:after="30"/>
              <w:jc w:val="right"/>
            </w:pPr>
            <w:r>
              <w:rPr>
                <w:b/>
                <w:color w:val="FFFFFF"/>
                <w:sz w:val="17"/>
              </w:rPr>
              <w:t>2.5 MW + 20 MWh</w:t>
            </w:r>
          </w:p>
        </w:tc>
        <w:tc>
          <w:tcPr>
            <w:tcW w:w="2016" w:type="dxa"/>
            <w:shd w:val="clear" w:color="auto" w:fill="1A365D"/>
          </w:tcPr>
          <w:p w14:paraId="016D5634" w14:textId="77777777" w:rsidR="006B4F28" w:rsidRDefault="00000000">
            <w:pPr>
              <w:spacing w:before="30" w:after="30"/>
              <w:jc w:val="right"/>
            </w:pPr>
            <w:r>
              <w:rPr>
                <w:b/>
                <w:color w:val="FFFFFF"/>
                <w:sz w:val="17"/>
              </w:rPr>
              <w:t>5 MW + 40 MWh</w:t>
            </w:r>
          </w:p>
        </w:tc>
      </w:tr>
      <w:tr w:rsidR="006B4F28" w14:paraId="1337A0AD" w14:textId="77777777">
        <w:tc>
          <w:tcPr>
            <w:tcW w:w="10224" w:type="dxa"/>
            <w:gridSpan w:val="4"/>
            <w:shd w:val="clear" w:color="auto" w:fill="EEF3FB"/>
          </w:tcPr>
          <w:p w14:paraId="7CB6FDE8" w14:textId="77777777" w:rsidR="006B4F28" w:rsidRDefault="00000000">
            <w:pPr>
              <w:spacing w:before="20" w:after="20"/>
            </w:pPr>
            <w:r>
              <w:rPr>
                <w:b/>
                <w:color w:val="1A365D"/>
                <w:sz w:val="15"/>
              </w:rPr>
              <w:t>CAPITAL EXPENDITURE</w:t>
            </w:r>
          </w:p>
        </w:tc>
      </w:tr>
      <w:tr w:rsidR="006B4F28" w14:paraId="1547EFCE" w14:textId="77777777">
        <w:tc>
          <w:tcPr>
            <w:tcW w:w="4176" w:type="dxa"/>
          </w:tcPr>
          <w:p w14:paraId="581BB5D5" w14:textId="77777777" w:rsidR="006B4F28" w:rsidRPr="00EB23DD" w:rsidRDefault="00000000">
            <w:pPr>
              <w:spacing w:before="25" w:after="25"/>
              <w:rPr>
                <w:lang w:val="sv-SE"/>
              </w:rPr>
            </w:pPr>
            <w:r w:rsidRPr="00EB23DD">
              <w:rPr>
                <w:color w:val="404040"/>
                <w:sz w:val="19"/>
                <w:lang w:val="sv-SE"/>
              </w:rPr>
              <w:t>PV EPC — AE Solar Meteor TOPCon (€720/kWp)</w:t>
            </w:r>
          </w:p>
        </w:tc>
        <w:tc>
          <w:tcPr>
            <w:tcW w:w="2016" w:type="dxa"/>
          </w:tcPr>
          <w:p w14:paraId="3A1B93E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€720,000</w:t>
            </w:r>
          </w:p>
        </w:tc>
        <w:tc>
          <w:tcPr>
            <w:tcW w:w="2016" w:type="dxa"/>
          </w:tcPr>
          <w:p w14:paraId="4F06EC59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€1,800,000</w:t>
            </w:r>
          </w:p>
        </w:tc>
        <w:tc>
          <w:tcPr>
            <w:tcW w:w="2016" w:type="dxa"/>
          </w:tcPr>
          <w:p w14:paraId="57A5F8D5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€3,600,000</w:t>
            </w:r>
          </w:p>
        </w:tc>
      </w:tr>
      <w:tr w:rsidR="006B4F28" w14:paraId="0E79B2A6" w14:textId="77777777">
        <w:tc>
          <w:tcPr>
            <w:tcW w:w="4176" w:type="dxa"/>
          </w:tcPr>
          <w:p w14:paraId="03C75EF2" w14:textId="77777777" w:rsidR="006B4F28" w:rsidRPr="00EB23DD" w:rsidRDefault="00000000">
            <w:pPr>
              <w:spacing w:before="25" w:after="25"/>
              <w:rPr>
                <w:lang w:val="sv-SE"/>
              </w:rPr>
            </w:pPr>
            <w:r w:rsidRPr="00EB23DD">
              <w:rPr>
                <w:color w:val="404040"/>
                <w:sz w:val="19"/>
                <w:lang w:val="sv-SE"/>
              </w:rPr>
              <w:t>BESS EPC — Linyang LFP 8h (V4 internal × 1.40 margin)</w:t>
            </w:r>
          </w:p>
        </w:tc>
        <w:tc>
          <w:tcPr>
            <w:tcW w:w="2016" w:type="dxa"/>
          </w:tcPr>
          <w:p w14:paraId="12922ABB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</w:t>
            </w:r>
            <w:proofErr w:type="gramStart"/>
            <w:r>
              <w:rPr>
                <w:color w:val="404040"/>
                <w:sz w:val="19"/>
              </w:rPr>
              <w:t>1,208,000  (</w:t>
            </w:r>
            <w:proofErr w:type="gramEnd"/>
            <w:r>
              <w:rPr>
                <w:color w:val="404040"/>
                <w:sz w:val="19"/>
              </w:rPr>
              <w:t>€151k/MWh)</w:t>
            </w:r>
          </w:p>
        </w:tc>
        <w:tc>
          <w:tcPr>
            <w:tcW w:w="2016" w:type="dxa"/>
          </w:tcPr>
          <w:p w14:paraId="0C7DFFFC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€2,820,000  (€141k/MWh)</w:t>
            </w:r>
          </w:p>
        </w:tc>
        <w:tc>
          <w:tcPr>
            <w:tcW w:w="2016" w:type="dxa"/>
          </w:tcPr>
          <w:p w14:paraId="58D214E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€5,120,000  (€128k/MWh)</w:t>
            </w:r>
          </w:p>
        </w:tc>
      </w:tr>
      <w:tr w:rsidR="006B4F28" w14:paraId="29176855" w14:textId="77777777">
        <w:tc>
          <w:tcPr>
            <w:tcW w:w="4176" w:type="dxa"/>
          </w:tcPr>
          <w:p w14:paraId="6DC74904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RTB licence acquisition (€380k/MW)</w:t>
            </w:r>
          </w:p>
        </w:tc>
        <w:tc>
          <w:tcPr>
            <w:tcW w:w="2016" w:type="dxa"/>
          </w:tcPr>
          <w:p w14:paraId="11491FE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€380,000</w:t>
            </w:r>
          </w:p>
        </w:tc>
        <w:tc>
          <w:tcPr>
            <w:tcW w:w="2016" w:type="dxa"/>
          </w:tcPr>
          <w:p w14:paraId="3D5AC281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€950,000</w:t>
            </w:r>
          </w:p>
        </w:tc>
        <w:tc>
          <w:tcPr>
            <w:tcW w:w="2016" w:type="dxa"/>
          </w:tcPr>
          <w:p w14:paraId="5DE4AEEB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€1,900,000</w:t>
            </w:r>
          </w:p>
        </w:tc>
      </w:tr>
      <w:tr w:rsidR="006B4F28" w14:paraId="20EA86F1" w14:textId="77777777">
        <w:tc>
          <w:tcPr>
            <w:tcW w:w="4176" w:type="dxa"/>
          </w:tcPr>
          <w:p w14:paraId="020A3B22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EAC grid connection terms (€80k/MW)</w:t>
            </w:r>
          </w:p>
        </w:tc>
        <w:tc>
          <w:tcPr>
            <w:tcW w:w="2016" w:type="dxa"/>
          </w:tcPr>
          <w:p w14:paraId="5D8B27F2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€80,000</w:t>
            </w:r>
          </w:p>
        </w:tc>
        <w:tc>
          <w:tcPr>
            <w:tcW w:w="2016" w:type="dxa"/>
          </w:tcPr>
          <w:p w14:paraId="3E884948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€200,000</w:t>
            </w:r>
          </w:p>
        </w:tc>
        <w:tc>
          <w:tcPr>
            <w:tcW w:w="2016" w:type="dxa"/>
          </w:tcPr>
          <w:p w14:paraId="0D701BE3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€400,000</w:t>
            </w:r>
          </w:p>
        </w:tc>
      </w:tr>
      <w:tr w:rsidR="006B4F28" w14:paraId="7A61DE1D" w14:textId="77777777">
        <w:tc>
          <w:tcPr>
            <w:tcW w:w="4176" w:type="dxa"/>
          </w:tcPr>
          <w:p w14:paraId="60479D39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MV cable to substation (1 km × €20k/km — site variable)</w:t>
            </w:r>
          </w:p>
        </w:tc>
        <w:tc>
          <w:tcPr>
            <w:tcW w:w="2016" w:type="dxa"/>
          </w:tcPr>
          <w:p w14:paraId="36676D19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€20,000</w:t>
            </w:r>
          </w:p>
        </w:tc>
        <w:tc>
          <w:tcPr>
            <w:tcW w:w="2016" w:type="dxa"/>
          </w:tcPr>
          <w:p w14:paraId="38D1264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€20,000</w:t>
            </w:r>
          </w:p>
        </w:tc>
        <w:tc>
          <w:tcPr>
            <w:tcW w:w="2016" w:type="dxa"/>
          </w:tcPr>
          <w:p w14:paraId="4AB77074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€20,000</w:t>
            </w:r>
          </w:p>
        </w:tc>
      </w:tr>
      <w:tr w:rsidR="006B4F28" w14:paraId="644FB6E3" w14:textId="77777777">
        <w:tc>
          <w:tcPr>
            <w:tcW w:w="4176" w:type="dxa"/>
          </w:tcPr>
          <w:p w14:paraId="179305C9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Permitting &amp; documentation</w:t>
            </w:r>
          </w:p>
        </w:tc>
        <w:tc>
          <w:tcPr>
            <w:tcW w:w="2016" w:type="dxa"/>
          </w:tcPr>
          <w:p w14:paraId="7E519E3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€35,000</w:t>
            </w:r>
          </w:p>
        </w:tc>
        <w:tc>
          <w:tcPr>
            <w:tcW w:w="2016" w:type="dxa"/>
          </w:tcPr>
          <w:p w14:paraId="1C30D9D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€35,000</w:t>
            </w:r>
          </w:p>
        </w:tc>
        <w:tc>
          <w:tcPr>
            <w:tcW w:w="2016" w:type="dxa"/>
          </w:tcPr>
          <w:p w14:paraId="1922BA3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€35,000</w:t>
            </w:r>
          </w:p>
        </w:tc>
      </w:tr>
      <w:tr w:rsidR="006B4F28" w14:paraId="5015E972" w14:textId="77777777">
        <w:tc>
          <w:tcPr>
            <w:tcW w:w="4176" w:type="dxa"/>
            <w:shd w:val="clear" w:color="auto" w:fill="EEF3FB"/>
          </w:tcPr>
          <w:p w14:paraId="6127FE8D" w14:textId="77777777" w:rsidR="006B4F28" w:rsidRDefault="00000000">
            <w:pPr>
              <w:spacing w:before="25" w:after="25"/>
            </w:pPr>
            <w:r>
              <w:rPr>
                <w:b/>
                <w:color w:val="1A365D"/>
                <w:sz w:val="20"/>
              </w:rPr>
              <w:t>Total CAPEX</w:t>
            </w:r>
          </w:p>
        </w:tc>
        <w:tc>
          <w:tcPr>
            <w:tcW w:w="2016" w:type="dxa"/>
            <w:shd w:val="clear" w:color="auto" w:fill="EEF3FB"/>
          </w:tcPr>
          <w:p w14:paraId="565D4A21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20"/>
              </w:rPr>
              <w:t>€2,443,000</w:t>
            </w:r>
          </w:p>
        </w:tc>
        <w:tc>
          <w:tcPr>
            <w:tcW w:w="2016" w:type="dxa"/>
            <w:shd w:val="clear" w:color="auto" w:fill="EEF3FB"/>
          </w:tcPr>
          <w:p w14:paraId="53F1A4D6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20"/>
              </w:rPr>
              <w:t>€5,825,000</w:t>
            </w:r>
          </w:p>
        </w:tc>
        <w:tc>
          <w:tcPr>
            <w:tcW w:w="2016" w:type="dxa"/>
            <w:shd w:val="clear" w:color="auto" w:fill="EEF3FB"/>
          </w:tcPr>
          <w:p w14:paraId="784D7F34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20"/>
              </w:rPr>
              <w:t>€11,075,000</w:t>
            </w:r>
          </w:p>
        </w:tc>
      </w:tr>
      <w:tr w:rsidR="006B4F28" w14:paraId="4EB1705E" w14:textId="77777777">
        <w:tc>
          <w:tcPr>
            <w:tcW w:w="10224" w:type="dxa"/>
            <w:gridSpan w:val="4"/>
            <w:shd w:val="clear" w:color="auto" w:fill="EEF3FB"/>
          </w:tcPr>
          <w:p w14:paraId="73A9A87B" w14:textId="77777777" w:rsidR="006B4F28" w:rsidRDefault="00000000">
            <w:pPr>
              <w:spacing w:before="20" w:after="20"/>
            </w:pPr>
            <w:r>
              <w:rPr>
                <w:b/>
                <w:color w:val="1A365D"/>
                <w:sz w:val="15"/>
              </w:rPr>
              <w:t>ANNUAL REVENUE (YEAR 1)</w:t>
            </w:r>
          </w:p>
        </w:tc>
      </w:tr>
      <w:tr w:rsidR="006B4F28" w14:paraId="617EFC4B" w14:textId="77777777">
        <w:tc>
          <w:tcPr>
            <w:tcW w:w="4176" w:type="dxa"/>
          </w:tcPr>
          <w:p w14:paraId="08309F64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PV production (AE Meteor · 2,150 kWh/kWp)</w:t>
            </w:r>
          </w:p>
        </w:tc>
        <w:tc>
          <w:tcPr>
            <w:tcW w:w="2016" w:type="dxa"/>
          </w:tcPr>
          <w:p w14:paraId="4C5F7F9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2,150 MWh</w:t>
            </w:r>
          </w:p>
        </w:tc>
        <w:tc>
          <w:tcPr>
            <w:tcW w:w="2016" w:type="dxa"/>
          </w:tcPr>
          <w:p w14:paraId="06AFA466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5,375 MWh</w:t>
            </w:r>
          </w:p>
        </w:tc>
        <w:tc>
          <w:tcPr>
            <w:tcW w:w="2016" w:type="dxa"/>
          </w:tcPr>
          <w:p w14:paraId="1B4281EC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10,750 MWh</w:t>
            </w:r>
          </w:p>
        </w:tc>
      </w:tr>
      <w:tr w:rsidR="006B4F28" w14:paraId="209B4769" w14:textId="77777777">
        <w:tc>
          <w:tcPr>
            <w:tcW w:w="4176" w:type="dxa"/>
          </w:tcPr>
          <w:p w14:paraId="5FA1C6F9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BESS nighttime discharge (RTE 86.32% × 100% production)</w:t>
            </w:r>
          </w:p>
        </w:tc>
        <w:tc>
          <w:tcPr>
            <w:tcW w:w="2016" w:type="dxa"/>
          </w:tcPr>
          <w:p w14:paraId="5C5B36B7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1,856 MWh</w:t>
            </w:r>
          </w:p>
        </w:tc>
        <w:tc>
          <w:tcPr>
            <w:tcW w:w="2016" w:type="dxa"/>
          </w:tcPr>
          <w:p w14:paraId="324EF8C7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4,640 MWh</w:t>
            </w:r>
          </w:p>
        </w:tc>
        <w:tc>
          <w:tcPr>
            <w:tcW w:w="2016" w:type="dxa"/>
          </w:tcPr>
          <w:p w14:paraId="1AAAAC28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9,279 MWh</w:t>
            </w:r>
          </w:p>
        </w:tc>
      </w:tr>
      <w:tr w:rsidR="006B4F28" w14:paraId="2BA0C69B" w14:textId="77777777">
        <w:tc>
          <w:tcPr>
            <w:tcW w:w="4176" w:type="dxa"/>
          </w:tcPr>
          <w:p w14:paraId="000F4890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Gross revenue (DAM evening peak × €182.99/MWh)</w:t>
            </w:r>
          </w:p>
        </w:tc>
        <w:tc>
          <w:tcPr>
            <w:tcW w:w="2016" w:type="dxa"/>
          </w:tcPr>
          <w:p w14:paraId="655F5F61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€339,607</w:t>
            </w:r>
          </w:p>
        </w:tc>
        <w:tc>
          <w:tcPr>
            <w:tcW w:w="2016" w:type="dxa"/>
          </w:tcPr>
          <w:p w14:paraId="16DAE662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€849,019</w:t>
            </w:r>
          </w:p>
        </w:tc>
        <w:tc>
          <w:tcPr>
            <w:tcW w:w="2016" w:type="dxa"/>
          </w:tcPr>
          <w:p w14:paraId="66C4EC0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€1,698,037</w:t>
            </w:r>
          </w:p>
        </w:tc>
      </w:tr>
      <w:tr w:rsidR="006B4F28" w14:paraId="31E488DA" w14:textId="77777777">
        <w:tc>
          <w:tcPr>
            <w:tcW w:w="4176" w:type="dxa"/>
          </w:tcPr>
          <w:p w14:paraId="51EFE2E7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Less: aggregator fee (10%)</w:t>
            </w:r>
          </w:p>
        </w:tc>
        <w:tc>
          <w:tcPr>
            <w:tcW w:w="2016" w:type="dxa"/>
          </w:tcPr>
          <w:p w14:paraId="7AE09367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−€33,961</w:t>
            </w:r>
          </w:p>
        </w:tc>
        <w:tc>
          <w:tcPr>
            <w:tcW w:w="2016" w:type="dxa"/>
          </w:tcPr>
          <w:p w14:paraId="1483CE4E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−€84,902</w:t>
            </w:r>
          </w:p>
        </w:tc>
        <w:tc>
          <w:tcPr>
            <w:tcW w:w="2016" w:type="dxa"/>
          </w:tcPr>
          <w:p w14:paraId="1F8E51CB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−€169,804</w:t>
            </w:r>
          </w:p>
        </w:tc>
      </w:tr>
      <w:tr w:rsidR="006B4F28" w14:paraId="72AFDEFB" w14:textId="77777777">
        <w:tc>
          <w:tcPr>
            <w:tcW w:w="4176" w:type="dxa"/>
            <w:shd w:val="clear" w:color="auto" w:fill="EEF6EE"/>
          </w:tcPr>
          <w:p w14:paraId="2762DE33" w14:textId="77777777" w:rsidR="006B4F28" w:rsidRDefault="00000000">
            <w:pPr>
              <w:spacing w:before="25" w:after="25"/>
            </w:pPr>
            <w:r>
              <w:rPr>
                <w:b/>
                <w:color w:val="1E7D4A"/>
                <w:sz w:val="20"/>
              </w:rPr>
              <w:t>Net Annual Revenue</w:t>
            </w:r>
          </w:p>
        </w:tc>
        <w:tc>
          <w:tcPr>
            <w:tcW w:w="2016" w:type="dxa"/>
            <w:shd w:val="clear" w:color="auto" w:fill="EEF6EE"/>
          </w:tcPr>
          <w:p w14:paraId="16F31D8D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€305,647</w:t>
            </w:r>
          </w:p>
        </w:tc>
        <w:tc>
          <w:tcPr>
            <w:tcW w:w="2016" w:type="dxa"/>
            <w:shd w:val="clear" w:color="auto" w:fill="EEF6EE"/>
          </w:tcPr>
          <w:p w14:paraId="07C16798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€764,117</w:t>
            </w:r>
          </w:p>
        </w:tc>
        <w:tc>
          <w:tcPr>
            <w:tcW w:w="2016" w:type="dxa"/>
            <w:shd w:val="clear" w:color="auto" w:fill="EEF6EE"/>
          </w:tcPr>
          <w:p w14:paraId="21AFDCA1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€1,528,234</w:t>
            </w:r>
          </w:p>
        </w:tc>
      </w:tr>
      <w:tr w:rsidR="006B4F28" w14:paraId="04B3DF8C" w14:textId="77777777">
        <w:tc>
          <w:tcPr>
            <w:tcW w:w="10224" w:type="dxa"/>
            <w:gridSpan w:val="4"/>
            <w:shd w:val="clear" w:color="auto" w:fill="EEF3FB"/>
          </w:tcPr>
          <w:p w14:paraId="600A42DC" w14:textId="77777777" w:rsidR="006B4F28" w:rsidRDefault="00000000">
            <w:pPr>
              <w:spacing w:before="20" w:after="20"/>
            </w:pPr>
            <w:r>
              <w:rPr>
                <w:b/>
                <w:color w:val="1A365D"/>
                <w:sz w:val="15"/>
              </w:rPr>
              <w:t>OPERATING COSTS &amp; EBITDA</w:t>
            </w:r>
          </w:p>
        </w:tc>
      </w:tr>
      <w:tr w:rsidR="006B4F28" w14:paraId="6C71CBD4" w14:textId="77777777">
        <w:tc>
          <w:tcPr>
            <w:tcW w:w="4176" w:type="dxa"/>
          </w:tcPr>
          <w:p w14:paraId="0393A760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PV O&amp;M (€15/kWp/yr · cleaning + inspection)</w:t>
            </w:r>
          </w:p>
        </w:tc>
        <w:tc>
          <w:tcPr>
            <w:tcW w:w="2016" w:type="dxa"/>
          </w:tcPr>
          <w:p w14:paraId="5288B31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−€15,000</w:t>
            </w:r>
          </w:p>
        </w:tc>
        <w:tc>
          <w:tcPr>
            <w:tcW w:w="2016" w:type="dxa"/>
          </w:tcPr>
          <w:p w14:paraId="614C43F0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−€37,500</w:t>
            </w:r>
          </w:p>
        </w:tc>
        <w:tc>
          <w:tcPr>
            <w:tcW w:w="2016" w:type="dxa"/>
          </w:tcPr>
          <w:p w14:paraId="45D73750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−€75,000</w:t>
            </w:r>
          </w:p>
        </w:tc>
      </w:tr>
      <w:tr w:rsidR="006B4F28" w14:paraId="45D410A4" w14:textId="77777777">
        <w:tc>
          <w:tcPr>
            <w:tcW w:w="4176" w:type="dxa"/>
          </w:tcPr>
          <w:p w14:paraId="64A58710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BESS LTSA (€1,740/MWh/yr · 97% availability · 15yr)</w:t>
            </w:r>
          </w:p>
        </w:tc>
        <w:tc>
          <w:tcPr>
            <w:tcW w:w="2016" w:type="dxa"/>
          </w:tcPr>
          <w:p w14:paraId="3D3B652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−€13,920</w:t>
            </w:r>
          </w:p>
        </w:tc>
        <w:tc>
          <w:tcPr>
            <w:tcW w:w="2016" w:type="dxa"/>
          </w:tcPr>
          <w:p w14:paraId="2AA54C8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−€34,800</w:t>
            </w:r>
          </w:p>
        </w:tc>
        <w:tc>
          <w:tcPr>
            <w:tcW w:w="2016" w:type="dxa"/>
          </w:tcPr>
          <w:p w14:paraId="2276E24B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−€69,600</w:t>
            </w:r>
          </w:p>
        </w:tc>
      </w:tr>
      <w:tr w:rsidR="006B4F28" w14:paraId="54D663E2" w14:textId="77777777">
        <w:tc>
          <w:tcPr>
            <w:tcW w:w="4176" w:type="dxa"/>
            <w:shd w:val="clear" w:color="auto" w:fill="EEF6EE"/>
          </w:tcPr>
          <w:p w14:paraId="738F42A9" w14:textId="77777777" w:rsidR="006B4F28" w:rsidRDefault="00000000">
            <w:pPr>
              <w:spacing w:before="25" w:after="25"/>
            </w:pPr>
            <w:r>
              <w:rPr>
                <w:b/>
                <w:color w:val="1E7D4A"/>
                <w:sz w:val="20"/>
              </w:rPr>
              <w:t>EBITDA</w:t>
            </w:r>
          </w:p>
        </w:tc>
        <w:tc>
          <w:tcPr>
            <w:tcW w:w="2016" w:type="dxa"/>
            <w:shd w:val="clear" w:color="auto" w:fill="EEF6EE"/>
          </w:tcPr>
          <w:p w14:paraId="59FD3A7D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€276,727</w:t>
            </w:r>
          </w:p>
        </w:tc>
        <w:tc>
          <w:tcPr>
            <w:tcW w:w="2016" w:type="dxa"/>
            <w:shd w:val="clear" w:color="auto" w:fill="EEF6EE"/>
          </w:tcPr>
          <w:p w14:paraId="62B9B93B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€691,817</w:t>
            </w:r>
          </w:p>
        </w:tc>
        <w:tc>
          <w:tcPr>
            <w:tcW w:w="2016" w:type="dxa"/>
            <w:shd w:val="clear" w:color="auto" w:fill="EEF6EE"/>
          </w:tcPr>
          <w:p w14:paraId="0A03F4E3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20"/>
              </w:rPr>
              <w:t>€1,383,634</w:t>
            </w:r>
          </w:p>
        </w:tc>
      </w:tr>
      <w:tr w:rsidR="006B4F28" w14:paraId="7C79C333" w14:textId="77777777">
        <w:tc>
          <w:tcPr>
            <w:tcW w:w="4176" w:type="dxa"/>
            <w:shd w:val="clear" w:color="auto" w:fill="1A365D"/>
          </w:tcPr>
          <w:p w14:paraId="3FC2B084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7"/>
              </w:rPr>
              <w:t>Return Metrics</w:t>
            </w:r>
          </w:p>
        </w:tc>
        <w:tc>
          <w:tcPr>
            <w:tcW w:w="2016" w:type="dxa"/>
            <w:shd w:val="clear" w:color="auto" w:fill="1A365D"/>
          </w:tcPr>
          <w:p w14:paraId="2AFA8282" w14:textId="77777777" w:rsidR="006B4F28" w:rsidRDefault="006B4F28">
            <w:pPr>
              <w:spacing w:before="30" w:after="30"/>
              <w:jc w:val="right"/>
            </w:pPr>
          </w:p>
        </w:tc>
        <w:tc>
          <w:tcPr>
            <w:tcW w:w="2016" w:type="dxa"/>
            <w:shd w:val="clear" w:color="auto" w:fill="1A365D"/>
          </w:tcPr>
          <w:p w14:paraId="676D84CC" w14:textId="77777777" w:rsidR="006B4F28" w:rsidRDefault="006B4F28">
            <w:pPr>
              <w:spacing w:before="30" w:after="30"/>
              <w:jc w:val="right"/>
            </w:pPr>
          </w:p>
        </w:tc>
        <w:tc>
          <w:tcPr>
            <w:tcW w:w="2016" w:type="dxa"/>
            <w:shd w:val="clear" w:color="auto" w:fill="1A365D"/>
          </w:tcPr>
          <w:p w14:paraId="6F8C8290" w14:textId="77777777" w:rsidR="006B4F28" w:rsidRDefault="006B4F28">
            <w:pPr>
              <w:spacing w:before="30" w:after="30"/>
              <w:jc w:val="right"/>
            </w:pPr>
          </w:p>
        </w:tc>
      </w:tr>
      <w:tr w:rsidR="006B4F28" w14:paraId="3E7BEE8A" w14:textId="77777777">
        <w:tc>
          <w:tcPr>
            <w:tcW w:w="4176" w:type="dxa"/>
          </w:tcPr>
          <w:p w14:paraId="66426327" w14:textId="77777777" w:rsidR="006B4F28" w:rsidRDefault="00000000">
            <w:pPr>
              <w:spacing w:before="25" w:after="25"/>
            </w:pPr>
            <w:r>
              <w:rPr>
                <w:b/>
                <w:color w:val="1A365D"/>
                <w:sz w:val="19"/>
              </w:rPr>
              <w:t>Unlevered payback</w:t>
            </w:r>
          </w:p>
        </w:tc>
        <w:tc>
          <w:tcPr>
            <w:tcW w:w="2016" w:type="dxa"/>
          </w:tcPr>
          <w:p w14:paraId="1BE2B11A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19"/>
              </w:rPr>
              <w:t>8.8 yr</w:t>
            </w:r>
          </w:p>
        </w:tc>
        <w:tc>
          <w:tcPr>
            <w:tcW w:w="2016" w:type="dxa"/>
          </w:tcPr>
          <w:p w14:paraId="62B0F56E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19"/>
              </w:rPr>
              <w:t>8.4 yr</w:t>
            </w:r>
          </w:p>
        </w:tc>
        <w:tc>
          <w:tcPr>
            <w:tcW w:w="2016" w:type="dxa"/>
          </w:tcPr>
          <w:p w14:paraId="39C465A3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A365D"/>
                <w:sz w:val="19"/>
              </w:rPr>
              <w:t>8.0 yr</w:t>
            </w:r>
          </w:p>
        </w:tc>
      </w:tr>
      <w:tr w:rsidR="006B4F28" w14:paraId="7D13B0D8" w14:textId="77777777">
        <w:tc>
          <w:tcPr>
            <w:tcW w:w="4176" w:type="dxa"/>
          </w:tcPr>
          <w:p w14:paraId="337AF32F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Equity required (35% of CAPEX)</w:t>
            </w:r>
          </w:p>
        </w:tc>
        <w:tc>
          <w:tcPr>
            <w:tcW w:w="2016" w:type="dxa"/>
          </w:tcPr>
          <w:p w14:paraId="0ED01DC1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€855,050</w:t>
            </w:r>
          </w:p>
        </w:tc>
        <w:tc>
          <w:tcPr>
            <w:tcW w:w="2016" w:type="dxa"/>
          </w:tcPr>
          <w:p w14:paraId="61123A1F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€2,038,750</w:t>
            </w:r>
          </w:p>
        </w:tc>
        <w:tc>
          <w:tcPr>
            <w:tcW w:w="2016" w:type="dxa"/>
          </w:tcPr>
          <w:p w14:paraId="134C9C45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€3,876,250</w:t>
            </w:r>
          </w:p>
        </w:tc>
      </w:tr>
      <w:tr w:rsidR="006B4F28" w14:paraId="76A73518" w14:textId="77777777">
        <w:tc>
          <w:tcPr>
            <w:tcW w:w="4176" w:type="dxa"/>
          </w:tcPr>
          <w:p w14:paraId="77744DFE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Senior debt (65% · 5.5% p.a. · 12yr annuity)</w:t>
            </w:r>
          </w:p>
        </w:tc>
        <w:tc>
          <w:tcPr>
            <w:tcW w:w="2016" w:type="dxa"/>
          </w:tcPr>
          <w:p w14:paraId="43E10F78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€1,587,950</w:t>
            </w:r>
          </w:p>
        </w:tc>
        <w:tc>
          <w:tcPr>
            <w:tcW w:w="2016" w:type="dxa"/>
          </w:tcPr>
          <w:p w14:paraId="2C1B54B9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€3,786,250</w:t>
            </w:r>
          </w:p>
        </w:tc>
        <w:tc>
          <w:tcPr>
            <w:tcW w:w="2016" w:type="dxa"/>
          </w:tcPr>
          <w:p w14:paraId="2F8E06CA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€7,198,750</w:t>
            </w:r>
          </w:p>
        </w:tc>
      </w:tr>
      <w:tr w:rsidR="006B4F28" w14:paraId="781226E6" w14:textId="77777777">
        <w:tc>
          <w:tcPr>
            <w:tcW w:w="4176" w:type="dxa"/>
          </w:tcPr>
          <w:p w14:paraId="07ACBF07" w14:textId="77777777" w:rsidR="006B4F28" w:rsidRDefault="00000000">
            <w:pPr>
              <w:spacing w:before="25" w:after="25"/>
            </w:pPr>
            <w:r>
              <w:rPr>
                <w:color w:val="404040"/>
                <w:sz w:val="19"/>
              </w:rPr>
              <w:t>Annual debt service</w:t>
            </w:r>
          </w:p>
        </w:tc>
        <w:tc>
          <w:tcPr>
            <w:tcW w:w="2016" w:type="dxa"/>
          </w:tcPr>
          <w:p w14:paraId="092912D6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−€184,249</w:t>
            </w:r>
          </w:p>
        </w:tc>
        <w:tc>
          <w:tcPr>
            <w:tcW w:w="2016" w:type="dxa"/>
          </w:tcPr>
          <w:p w14:paraId="07C4646D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−€439,316</w:t>
            </w:r>
          </w:p>
        </w:tc>
        <w:tc>
          <w:tcPr>
            <w:tcW w:w="2016" w:type="dxa"/>
          </w:tcPr>
          <w:p w14:paraId="144D646B" w14:textId="77777777" w:rsidR="006B4F28" w:rsidRDefault="00000000">
            <w:pPr>
              <w:spacing w:before="25" w:after="25"/>
              <w:jc w:val="right"/>
            </w:pPr>
            <w:r>
              <w:rPr>
                <w:color w:val="404040"/>
                <w:sz w:val="19"/>
              </w:rPr>
              <w:t>−€835,265</w:t>
            </w:r>
          </w:p>
        </w:tc>
      </w:tr>
      <w:tr w:rsidR="006B4F28" w14:paraId="1163D856" w14:textId="77777777">
        <w:tc>
          <w:tcPr>
            <w:tcW w:w="4176" w:type="dxa"/>
          </w:tcPr>
          <w:p w14:paraId="6B6B3113" w14:textId="77777777" w:rsidR="006B4F28" w:rsidRDefault="00000000">
            <w:pPr>
              <w:spacing w:before="25" w:after="25"/>
            </w:pPr>
            <w:r>
              <w:rPr>
                <w:b/>
                <w:color w:val="1E7D4A"/>
                <w:sz w:val="19"/>
              </w:rPr>
              <w:t>DSCR</w:t>
            </w:r>
          </w:p>
        </w:tc>
        <w:tc>
          <w:tcPr>
            <w:tcW w:w="2016" w:type="dxa"/>
          </w:tcPr>
          <w:p w14:paraId="0A4698EC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19"/>
              </w:rPr>
              <w:t>1.50×</w:t>
            </w:r>
          </w:p>
        </w:tc>
        <w:tc>
          <w:tcPr>
            <w:tcW w:w="2016" w:type="dxa"/>
          </w:tcPr>
          <w:p w14:paraId="51654251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19"/>
              </w:rPr>
              <w:t>1.57×</w:t>
            </w:r>
          </w:p>
        </w:tc>
        <w:tc>
          <w:tcPr>
            <w:tcW w:w="2016" w:type="dxa"/>
          </w:tcPr>
          <w:p w14:paraId="34ADFA30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1E7D4A"/>
                <w:sz w:val="19"/>
              </w:rPr>
              <w:t>1.66×</w:t>
            </w:r>
          </w:p>
        </w:tc>
      </w:tr>
      <w:tr w:rsidR="006B4F28" w14:paraId="1034B3EA" w14:textId="77777777">
        <w:tc>
          <w:tcPr>
            <w:tcW w:w="4176" w:type="dxa"/>
          </w:tcPr>
          <w:p w14:paraId="3E6F0700" w14:textId="77777777" w:rsidR="006B4F28" w:rsidRDefault="00000000">
            <w:pPr>
              <w:spacing w:before="25" w:after="25"/>
            </w:pPr>
            <w:r>
              <w:rPr>
                <w:color w:val="1E7D4A"/>
                <w:sz w:val="19"/>
              </w:rPr>
              <w:t>Net cash to equity (post 15% CIT)</w:t>
            </w:r>
          </w:p>
        </w:tc>
        <w:tc>
          <w:tcPr>
            <w:tcW w:w="2016" w:type="dxa"/>
          </w:tcPr>
          <w:p w14:paraId="446C67D6" w14:textId="77777777" w:rsidR="006B4F28" w:rsidRDefault="00000000">
            <w:pPr>
              <w:spacing w:before="25" w:after="25"/>
              <w:jc w:val="right"/>
            </w:pPr>
            <w:r>
              <w:rPr>
                <w:color w:val="1E7D4A"/>
                <w:sz w:val="19"/>
              </w:rPr>
              <w:t>€92,478</w:t>
            </w:r>
          </w:p>
        </w:tc>
        <w:tc>
          <w:tcPr>
            <w:tcW w:w="2016" w:type="dxa"/>
          </w:tcPr>
          <w:p w14:paraId="0DD8589C" w14:textId="77777777" w:rsidR="006B4F28" w:rsidRDefault="00000000">
            <w:pPr>
              <w:spacing w:before="25" w:after="25"/>
              <w:jc w:val="right"/>
            </w:pPr>
            <w:r>
              <w:rPr>
                <w:color w:val="1E7D4A"/>
                <w:sz w:val="19"/>
              </w:rPr>
              <w:t>€252,501</w:t>
            </w:r>
          </w:p>
        </w:tc>
        <w:tc>
          <w:tcPr>
            <w:tcW w:w="2016" w:type="dxa"/>
          </w:tcPr>
          <w:p w14:paraId="3FCC004F" w14:textId="77777777" w:rsidR="006B4F28" w:rsidRDefault="00000000">
            <w:pPr>
              <w:spacing w:before="25" w:after="25"/>
              <w:jc w:val="right"/>
            </w:pPr>
            <w:r>
              <w:rPr>
                <w:color w:val="1E7D4A"/>
                <w:sz w:val="19"/>
              </w:rPr>
              <w:t>€548,368</w:t>
            </w:r>
          </w:p>
        </w:tc>
      </w:tr>
      <w:tr w:rsidR="006B4F28" w14:paraId="518E7F8D" w14:textId="77777777">
        <w:tc>
          <w:tcPr>
            <w:tcW w:w="4176" w:type="dxa"/>
            <w:shd w:val="clear" w:color="auto" w:fill="FFF9E6"/>
          </w:tcPr>
          <w:p w14:paraId="50E6C9FC" w14:textId="77777777" w:rsidR="006B4F28" w:rsidRDefault="00000000">
            <w:pPr>
              <w:spacing w:before="25" w:after="25"/>
            </w:pPr>
            <w:r>
              <w:rPr>
                <w:b/>
                <w:color w:val="9C7D22"/>
                <w:sz w:val="20"/>
              </w:rPr>
              <w:lastRenderedPageBreak/>
              <w:t>Equity payback (levered)</w:t>
            </w:r>
          </w:p>
        </w:tc>
        <w:tc>
          <w:tcPr>
            <w:tcW w:w="2016" w:type="dxa"/>
            <w:shd w:val="clear" w:color="auto" w:fill="FFF9E6"/>
          </w:tcPr>
          <w:p w14:paraId="40DFA84E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9C7D22"/>
                <w:sz w:val="20"/>
              </w:rPr>
              <w:t>9.2 yr</w:t>
            </w:r>
          </w:p>
        </w:tc>
        <w:tc>
          <w:tcPr>
            <w:tcW w:w="2016" w:type="dxa"/>
            <w:shd w:val="clear" w:color="auto" w:fill="FFF9E6"/>
          </w:tcPr>
          <w:p w14:paraId="5F48976B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9C7D22"/>
                <w:sz w:val="20"/>
              </w:rPr>
              <w:t>8.1 yr</w:t>
            </w:r>
          </w:p>
        </w:tc>
        <w:tc>
          <w:tcPr>
            <w:tcW w:w="2016" w:type="dxa"/>
            <w:shd w:val="clear" w:color="auto" w:fill="FFF9E6"/>
          </w:tcPr>
          <w:p w14:paraId="7EE5D0F7" w14:textId="77777777" w:rsidR="006B4F28" w:rsidRDefault="00000000">
            <w:pPr>
              <w:spacing w:before="25" w:after="25"/>
              <w:jc w:val="right"/>
            </w:pPr>
            <w:r>
              <w:rPr>
                <w:b/>
                <w:color w:val="9C7D22"/>
                <w:sz w:val="20"/>
              </w:rPr>
              <w:t>7.1 yr</w:t>
            </w:r>
          </w:p>
        </w:tc>
      </w:tr>
    </w:tbl>
    <w:p w14:paraId="62C02CBF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B4F28" w14:paraId="60B70A01" w14:textId="77777777">
        <w:tc>
          <w:tcPr>
            <w:tcW w:w="9972" w:type="dxa"/>
            <w:shd w:val="clear" w:color="auto" w:fill="1A365D"/>
          </w:tcPr>
          <w:p w14:paraId="01818424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8"/>
              </w:rPr>
              <w:t xml:space="preserve">TECHNOLOGY &amp; EPC CAPABILITY  </w:t>
            </w:r>
            <w:r>
              <w:rPr>
                <w:color w:val="AABBCC"/>
                <w:sz w:val="16"/>
              </w:rPr>
              <w:t>Lighthief — exclusive Linyang Energy distributor in Cyprus · 28 parks / 134 MW / 496.5 MWh pipeline</w:t>
            </w:r>
          </w:p>
        </w:tc>
      </w:tr>
    </w:tbl>
    <w:p w14:paraId="6907B9A7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6B4F28" w14:paraId="230BD465" w14:textId="77777777">
        <w:tc>
          <w:tcPr>
            <w:tcW w:w="2160" w:type="dxa"/>
            <w:shd w:val="clear" w:color="auto" w:fill="1A365D"/>
          </w:tcPr>
          <w:p w14:paraId="686A398C" w14:textId="77777777" w:rsidR="006B4F28" w:rsidRPr="00EB23DD" w:rsidRDefault="00000000">
            <w:pPr>
              <w:spacing w:before="30" w:after="30"/>
              <w:rPr>
                <w:lang w:val="sv-SE"/>
              </w:rPr>
            </w:pPr>
            <w:r w:rsidRPr="00EB23DD">
              <w:rPr>
                <w:b/>
                <w:color w:val="C9A432"/>
                <w:sz w:val="16"/>
                <w:lang w:val="sv-SE"/>
              </w:rPr>
              <w:t>SOLAR PV — AE SOLAR METEOR</w:t>
            </w:r>
          </w:p>
        </w:tc>
        <w:tc>
          <w:tcPr>
            <w:tcW w:w="2880" w:type="dxa"/>
            <w:shd w:val="clear" w:color="auto" w:fill="1A365D"/>
          </w:tcPr>
          <w:p w14:paraId="4E2E8FB1" w14:textId="77777777" w:rsidR="006B4F28" w:rsidRPr="00EB23DD" w:rsidRDefault="006B4F28">
            <w:pPr>
              <w:rPr>
                <w:lang w:val="sv-SE"/>
              </w:rPr>
            </w:pPr>
          </w:p>
        </w:tc>
        <w:tc>
          <w:tcPr>
            <w:tcW w:w="2160" w:type="dxa"/>
            <w:shd w:val="clear" w:color="auto" w:fill="1A365D"/>
          </w:tcPr>
          <w:p w14:paraId="6B4B5F5A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6"/>
              </w:rPr>
              <w:t>BESS — LINYANG LFP</w:t>
            </w:r>
          </w:p>
        </w:tc>
        <w:tc>
          <w:tcPr>
            <w:tcW w:w="2880" w:type="dxa"/>
            <w:shd w:val="clear" w:color="auto" w:fill="1A365D"/>
          </w:tcPr>
          <w:p w14:paraId="4595E8AB" w14:textId="77777777" w:rsidR="006B4F28" w:rsidRDefault="006B4F28"/>
        </w:tc>
      </w:tr>
      <w:tr w:rsidR="006B4F28" w14:paraId="4F2778BB" w14:textId="77777777">
        <w:tc>
          <w:tcPr>
            <w:tcW w:w="2160" w:type="dxa"/>
            <w:shd w:val="clear" w:color="auto" w:fill="F8FAFC"/>
          </w:tcPr>
          <w:p w14:paraId="17DFEC3A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Module</w:t>
            </w:r>
          </w:p>
        </w:tc>
        <w:tc>
          <w:tcPr>
            <w:tcW w:w="2880" w:type="dxa"/>
            <w:shd w:val="clear" w:color="auto" w:fill="FFFFFF"/>
          </w:tcPr>
          <w:p w14:paraId="04763621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AE Solar Meteor N-type TOPCon bifacial</w:t>
            </w:r>
          </w:p>
        </w:tc>
        <w:tc>
          <w:tcPr>
            <w:tcW w:w="2160" w:type="dxa"/>
            <w:shd w:val="clear" w:color="auto" w:fill="F8FAFC"/>
          </w:tcPr>
          <w:p w14:paraId="46074749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Chemistry / cells</w:t>
            </w:r>
          </w:p>
        </w:tc>
        <w:tc>
          <w:tcPr>
            <w:tcW w:w="2880" w:type="dxa"/>
            <w:shd w:val="clear" w:color="auto" w:fill="FFFFFF"/>
          </w:tcPr>
          <w:p w14:paraId="2046974F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LFP (EVE) · EN 50549-2 TÜV cert.</w:t>
            </w:r>
          </w:p>
        </w:tc>
      </w:tr>
      <w:tr w:rsidR="006B4F28" w14:paraId="14F9E240" w14:textId="77777777">
        <w:tc>
          <w:tcPr>
            <w:tcW w:w="2160" w:type="dxa"/>
            <w:shd w:val="clear" w:color="auto" w:fill="F8FAFC"/>
          </w:tcPr>
          <w:p w14:paraId="384F7F44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Wattage / efficiency</w:t>
            </w:r>
          </w:p>
        </w:tc>
        <w:tc>
          <w:tcPr>
            <w:tcW w:w="2880" w:type="dxa"/>
            <w:shd w:val="clear" w:color="auto" w:fill="FFFFFF"/>
          </w:tcPr>
          <w:p w14:paraId="5CD22BAB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620–630 Wp · η 22.9%</w:t>
            </w:r>
          </w:p>
        </w:tc>
        <w:tc>
          <w:tcPr>
            <w:tcW w:w="2160" w:type="dxa"/>
            <w:shd w:val="clear" w:color="auto" w:fill="F8FAFC"/>
          </w:tcPr>
          <w:p w14:paraId="05E22268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PCS models</w:t>
            </w:r>
          </w:p>
        </w:tc>
        <w:tc>
          <w:tcPr>
            <w:tcW w:w="2880" w:type="dxa"/>
            <w:shd w:val="clear" w:color="auto" w:fill="FFFFFF"/>
          </w:tcPr>
          <w:p w14:paraId="4F4E96BE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1.0 / 1.25 MW C-series</w:t>
            </w:r>
          </w:p>
        </w:tc>
      </w:tr>
      <w:tr w:rsidR="006B4F28" w14:paraId="6DE73FE5" w14:textId="77777777">
        <w:tc>
          <w:tcPr>
            <w:tcW w:w="2160" w:type="dxa"/>
            <w:shd w:val="clear" w:color="auto" w:fill="F8FAFC"/>
          </w:tcPr>
          <w:p w14:paraId="516961F4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Bifaciality / albedo</w:t>
            </w:r>
          </w:p>
        </w:tc>
        <w:tc>
          <w:tcPr>
            <w:tcW w:w="2880" w:type="dxa"/>
            <w:shd w:val="clear" w:color="auto" w:fill="FFFFFF"/>
          </w:tcPr>
          <w:p w14:paraId="52DFAA07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80% · white ground 0.70</w:t>
            </w:r>
          </w:p>
        </w:tc>
        <w:tc>
          <w:tcPr>
            <w:tcW w:w="2160" w:type="dxa"/>
            <w:shd w:val="clear" w:color="auto" w:fill="F8FAFC"/>
          </w:tcPr>
          <w:p w14:paraId="698AA6F5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RTE</w:t>
            </w:r>
          </w:p>
        </w:tc>
        <w:tc>
          <w:tcPr>
            <w:tcW w:w="2880" w:type="dxa"/>
            <w:shd w:val="clear" w:color="auto" w:fill="FFFFFF"/>
          </w:tcPr>
          <w:p w14:paraId="0733EBBC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86.32% AC-AC (full system)</w:t>
            </w:r>
          </w:p>
        </w:tc>
      </w:tr>
      <w:tr w:rsidR="006B4F28" w14:paraId="2068B61C" w14:textId="77777777">
        <w:tc>
          <w:tcPr>
            <w:tcW w:w="2160" w:type="dxa"/>
            <w:shd w:val="clear" w:color="auto" w:fill="F8FAFC"/>
          </w:tcPr>
          <w:p w14:paraId="5B8B21A9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Specific yield</w:t>
            </w:r>
          </w:p>
        </w:tc>
        <w:tc>
          <w:tcPr>
            <w:tcW w:w="2880" w:type="dxa"/>
            <w:shd w:val="clear" w:color="auto" w:fill="FFFFFF"/>
          </w:tcPr>
          <w:p w14:paraId="039738C6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2,150 kWh/kWp · 25° south</w:t>
            </w:r>
          </w:p>
        </w:tc>
        <w:tc>
          <w:tcPr>
            <w:tcW w:w="2160" w:type="dxa"/>
            <w:shd w:val="clear" w:color="auto" w:fill="F8FAFC"/>
          </w:tcPr>
          <w:p w14:paraId="5B69B861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Cycle life</w:t>
            </w:r>
          </w:p>
        </w:tc>
        <w:tc>
          <w:tcPr>
            <w:tcW w:w="2880" w:type="dxa"/>
            <w:shd w:val="clear" w:color="auto" w:fill="FFFFFF"/>
          </w:tcPr>
          <w:p w14:paraId="01D340C7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7,000 cycles @ 70% EOL DoD</w:t>
            </w:r>
          </w:p>
        </w:tc>
      </w:tr>
      <w:tr w:rsidR="006B4F28" w14:paraId="07CBBC8C" w14:textId="77777777">
        <w:tc>
          <w:tcPr>
            <w:tcW w:w="2160" w:type="dxa"/>
            <w:shd w:val="clear" w:color="auto" w:fill="F8FAFC"/>
          </w:tcPr>
          <w:p w14:paraId="6C1F2344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Degradation</w:t>
            </w:r>
          </w:p>
        </w:tc>
        <w:tc>
          <w:tcPr>
            <w:tcW w:w="2880" w:type="dxa"/>
            <w:shd w:val="clear" w:color="auto" w:fill="FFFFFF"/>
          </w:tcPr>
          <w:p w14:paraId="0198E968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0.4%/yr (N-type — low)</w:t>
            </w:r>
          </w:p>
        </w:tc>
        <w:tc>
          <w:tcPr>
            <w:tcW w:w="2160" w:type="dxa"/>
            <w:shd w:val="clear" w:color="auto" w:fill="F8FAFC"/>
          </w:tcPr>
          <w:p w14:paraId="623EFE71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SoH Yr5 / 10 / 15</w:t>
            </w:r>
          </w:p>
        </w:tc>
        <w:tc>
          <w:tcPr>
            <w:tcW w:w="2880" w:type="dxa"/>
            <w:shd w:val="clear" w:color="auto" w:fill="FFFFFF"/>
          </w:tcPr>
          <w:p w14:paraId="25B40FB8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85% / 79.6% / 70% guaranteed</w:t>
            </w:r>
          </w:p>
        </w:tc>
      </w:tr>
      <w:tr w:rsidR="006B4F28" w14:paraId="21F7FAE6" w14:textId="77777777">
        <w:tc>
          <w:tcPr>
            <w:tcW w:w="2160" w:type="dxa"/>
            <w:shd w:val="clear" w:color="auto" w:fill="F8FAFC"/>
          </w:tcPr>
          <w:p w14:paraId="2E0CEAE7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Product warranty</w:t>
            </w:r>
          </w:p>
        </w:tc>
        <w:tc>
          <w:tcPr>
            <w:tcW w:w="2880" w:type="dxa"/>
            <w:shd w:val="clear" w:color="auto" w:fill="FFFFFF"/>
          </w:tcPr>
          <w:p w14:paraId="409C618E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30 years</w:t>
            </w:r>
          </w:p>
        </w:tc>
        <w:tc>
          <w:tcPr>
            <w:tcW w:w="2160" w:type="dxa"/>
            <w:shd w:val="clear" w:color="auto" w:fill="F8FAFC"/>
          </w:tcPr>
          <w:p w14:paraId="4A5762EC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Base warranty</w:t>
            </w:r>
          </w:p>
        </w:tc>
        <w:tc>
          <w:tcPr>
            <w:tcW w:w="2880" w:type="dxa"/>
            <w:shd w:val="clear" w:color="auto" w:fill="FFFFFF"/>
          </w:tcPr>
          <w:p w14:paraId="157AC583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5 years (in EPC price)</w:t>
            </w:r>
          </w:p>
        </w:tc>
      </w:tr>
      <w:tr w:rsidR="006B4F28" w14:paraId="2C6B16BC" w14:textId="77777777">
        <w:tc>
          <w:tcPr>
            <w:tcW w:w="2160" w:type="dxa"/>
            <w:shd w:val="clear" w:color="auto" w:fill="F8FAFC"/>
          </w:tcPr>
          <w:p w14:paraId="416107E5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PV EPC</w:t>
            </w:r>
          </w:p>
        </w:tc>
        <w:tc>
          <w:tcPr>
            <w:tcW w:w="2880" w:type="dxa"/>
            <w:shd w:val="clear" w:color="auto" w:fill="FFFFFF"/>
          </w:tcPr>
          <w:p w14:paraId="4278BAD3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€720/kWp all-in turnkey</w:t>
            </w:r>
          </w:p>
        </w:tc>
        <w:tc>
          <w:tcPr>
            <w:tcW w:w="2160" w:type="dxa"/>
            <w:shd w:val="clear" w:color="auto" w:fill="F8FAFC"/>
          </w:tcPr>
          <w:p w14:paraId="2CA41A4E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LTSA</w:t>
            </w:r>
          </w:p>
        </w:tc>
        <w:tc>
          <w:tcPr>
            <w:tcW w:w="2880" w:type="dxa"/>
            <w:shd w:val="clear" w:color="auto" w:fill="FFFFFF"/>
          </w:tcPr>
          <w:p w14:paraId="2E91DA29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€1,740/MWh/yr · 97% avail. · 15yr</w:t>
            </w:r>
          </w:p>
        </w:tc>
      </w:tr>
      <w:tr w:rsidR="006B4F28" w14:paraId="6D8D7284" w14:textId="77777777">
        <w:tc>
          <w:tcPr>
            <w:tcW w:w="2160" w:type="dxa"/>
          </w:tcPr>
          <w:p w14:paraId="2353FAD9" w14:textId="77777777" w:rsidR="006B4F28" w:rsidRDefault="006B4F28"/>
        </w:tc>
        <w:tc>
          <w:tcPr>
            <w:tcW w:w="2880" w:type="dxa"/>
          </w:tcPr>
          <w:p w14:paraId="67CB146C" w14:textId="77777777" w:rsidR="006B4F28" w:rsidRDefault="006B4F28"/>
        </w:tc>
        <w:tc>
          <w:tcPr>
            <w:tcW w:w="2160" w:type="dxa"/>
            <w:shd w:val="clear" w:color="auto" w:fill="F8FAFC"/>
          </w:tcPr>
          <w:p w14:paraId="74DB58E9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Incoterms</w:t>
            </w:r>
          </w:p>
        </w:tc>
        <w:tc>
          <w:tcPr>
            <w:tcW w:w="2880" w:type="dxa"/>
            <w:shd w:val="clear" w:color="auto" w:fill="FFFFFF"/>
          </w:tcPr>
          <w:p w14:paraId="1DEECF25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CIF Limassol · 90d prod + 50d transit</w:t>
            </w:r>
          </w:p>
        </w:tc>
      </w:tr>
      <w:tr w:rsidR="006B4F28" w14:paraId="0B7BB74C" w14:textId="77777777">
        <w:tc>
          <w:tcPr>
            <w:tcW w:w="2160" w:type="dxa"/>
          </w:tcPr>
          <w:p w14:paraId="666F1502" w14:textId="77777777" w:rsidR="006B4F28" w:rsidRDefault="006B4F28"/>
        </w:tc>
        <w:tc>
          <w:tcPr>
            <w:tcW w:w="2880" w:type="dxa"/>
          </w:tcPr>
          <w:p w14:paraId="4E85CCA9" w14:textId="77777777" w:rsidR="006B4F28" w:rsidRDefault="006B4F28"/>
        </w:tc>
        <w:tc>
          <w:tcPr>
            <w:tcW w:w="2160" w:type="dxa"/>
            <w:shd w:val="clear" w:color="auto" w:fill="F8FAFC"/>
          </w:tcPr>
          <w:p w14:paraId="7E094E8D" w14:textId="77777777" w:rsidR="006B4F28" w:rsidRDefault="00000000">
            <w:pPr>
              <w:spacing w:before="20" w:after="20"/>
            </w:pPr>
            <w:r>
              <w:rPr>
                <w:b/>
                <w:color w:val="404040"/>
                <w:sz w:val="18"/>
              </w:rPr>
              <w:t>Pipeline</w:t>
            </w:r>
          </w:p>
        </w:tc>
        <w:tc>
          <w:tcPr>
            <w:tcW w:w="2880" w:type="dxa"/>
            <w:shd w:val="clear" w:color="auto" w:fill="FFFFFF"/>
          </w:tcPr>
          <w:p w14:paraId="46176B49" w14:textId="77777777" w:rsidR="006B4F28" w:rsidRDefault="00000000">
            <w:pPr>
              <w:spacing w:before="20" w:after="20"/>
            </w:pPr>
            <w:r>
              <w:rPr>
                <w:color w:val="404040"/>
                <w:sz w:val="18"/>
              </w:rPr>
              <w:t>28 parks · 134 MW · 496.5 MWh confirmed</w:t>
            </w:r>
          </w:p>
        </w:tc>
      </w:tr>
    </w:tbl>
    <w:p w14:paraId="2433A80B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B4F28" w14:paraId="782DB01C" w14:textId="77777777">
        <w:tc>
          <w:tcPr>
            <w:tcW w:w="9972" w:type="dxa"/>
            <w:shd w:val="clear" w:color="auto" w:fill="1A365D"/>
          </w:tcPr>
          <w:p w14:paraId="6CC261C5" w14:textId="77777777" w:rsidR="006B4F28" w:rsidRDefault="00000000">
            <w:pPr>
              <w:spacing w:before="30" w:after="30"/>
            </w:pPr>
            <w:r>
              <w:rPr>
                <w:b/>
                <w:color w:val="C9A432"/>
                <w:sz w:val="18"/>
              </w:rPr>
              <w:t xml:space="preserve">INDICATIVE PROJECT TIMELINE  </w:t>
            </w:r>
            <w:r>
              <w:rPr>
                <w:color w:val="AABBCC"/>
                <w:sz w:val="16"/>
              </w:rPr>
              <w:t>From RTB acquisition to Provisional Acceptance Certificate (PAC)</w:t>
            </w:r>
          </w:p>
        </w:tc>
      </w:tr>
    </w:tbl>
    <w:p w14:paraId="0BCA1198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6B4F28" w14:paraId="009C83EF" w14:textId="77777777">
        <w:tc>
          <w:tcPr>
            <w:tcW w:w="1994" w:type="dxa"/>
            <w:shd w:val="clear" w:color="auto" w:fill="EEF3FB"/>
          </w:tcPr>
          <w:p w14:paraId="6211AB97" w14:textId="77777777" w:rsidR="006B4F28" w:rsidRDefault="00000000">
            <w:pPr>
              <w:spacing w:before="40" w:after="40"/>
              <w:jc w:val="center"/>
            </w:pPr>
            <w:r>
              <w:rPr>
                <w:color w:val="94A3B8"/>
                <w:sz w:val="16"/>
              </w:rPr>
              <w:t>RTB / EPC Contract</w:t>
            </w:r>
            <w:r>
              <w:rPr>
                <w:color w:val="94A3B8"/>
                <w:sz w:val="16"/>
              </w:rPr>
              <w:br/>
            </w:r>
            <w:r>
              <w:rPr>
                <w:b/>
                <w:color w:val="1A365D"/>
              </w:rPr>
              <w:t>Month 0</w:t>
            </w:r>
          </w:p>
        </w:tc>
        <w:tc>
          <w:tcPr>
            <w:tcW w:w="1994" w:type="dxa"/>
            <w:shd w:val="clear" w:color="auto" w:fill="EEF3FB"/>
          </w:tcPr>
          <w:p w14:paraId="5AF0A29C" w14:textId="77777777" w:rsidR="006B4F28" w:rsidRDefault="00000000">
            <w:pPr>
              <w:spacing w:before="40" w:after="40"/>
              <w:jc w:val="center"/>
            </w:pPr>
            <w:r>
              <w:rPr>
                <w:color w:val="94A3B8"/>
                <w:sz w:val="16"/>
              </w:rPr>
              <w:t>Linyang Production</w:t>
            </w:r>
            <w:r>
              <w:rPr>
                <w:color w:val="94A3B8"/>
                <w:sz w:val="16"/>
              </w:rPr>
              <w:br/>
            </w:r>
            <w:r>
              <w:rPr>
                <w:b/>
                <w:color w:val="1A365D"/>
              </w:rPr>
              <w:t>+90 days</w:t>
            </w:r>
          </w:p>
        </w:tc>
        <w:tc>
          <w:tcPr>
            <w:tcW w:w="1994" w:type="dxa"/>
            <w:shd w:val="clear" w:color="auto" w:fill="EEF3FB"/>
          </w:tcPr>
          <w:p w14:paraId="5C9B23F2" w14:textId="77777777" w:rsidR="006B4F28" w:rsidRDefault="00000000">
            <w:pPr>
              <w:spacing w:before="40" w:after="40"/>
              <w:jc w:val="center"/>
            </w:pPr>
            <w:r>
              <w:rPr>
                <w:color w:val="94A3B8"/>
                <w:sz w:val="16"/>
              </w:rPr>
              <w:t>CIF Limassol</w:t>
            </w:r>
            <w:r>
              <w:rPr>
                <w:color w:val="94A3B8"/>
                <w:sz w:val="16"/>
              </w:rPr>
              <w:br/>
            </w:r>
            <w:r>
              <w:rPr>
                <w:b/>
                <w:color w:val="1A365D"/>
              </w:rPr>
              <w:t>+50 days</w:t>
            </w:r>
          </w:p>
        </w:tc>
        <w:tc>
          <w:tcPr>
            <w:tcW w:w="1994" w:type="dxa"/>
            <w:shd w:val="clear" w:color="auto" w:fill="EEF3FB"/>
          </w:tcPr>
          <w:p w14:paraId="46BEDC9F" w14:textId="77777777" w:rsidR="006B4F28" w:rsidRDefault="00000000">
            <w:pPr>
              <w:spacing w:before="40" w:after="40"/>
              <w:jc w:val="center"/>
            </w:pPr>
            <w:r>
              <w:rPr>
                <w:color w:val="94A3B8"/>
                <w:sz w:val="16"/>
              </w:rPr>
              <w:t>Installation &amp; Commissioning</w:t>
            </w:r>
            <w:r>
              <w:rPr>
                <w:color w:val="94A3B8"/>
                <w:sz w:val="16"/>
              </w:rPr>
              <w:br/>
            </w:r>
            <w:r>
              <w:rPr>
                <w:b/>
                <w:color w:val="1A365D"/>
              </w:rPr>
              <w:t>+60–90 days</w:t>
            </w:r>
          </w:p>
        </w:tc>
        <w:tc>
          <w:tcPr>
            <w:tcW w:w="1994" w:type="dxa"/>
            <w:shd w:val="clear" w:color="auto" w:fill="EEF3FB"/>
          </w:tcPr>
          <w:p w14:paraId="23229435" w14:textId="77777777" w:rsidR="006B4F28" w:rsidRDefault="00000000">
            <w:pPr>
              <w:spacing w:before="40" w:after="40"/>
              <w:jc w:val="center"/>
            </w:pPr>
            <w:r>
              <w:rPr>
                <w:color w:val="94A3B8"/>
                <w:sz w:val="16"/>
              </w:rPr>
              <w:t>PAC — Grid Connected</w:t>
            </w:r>
            <w:r>
              <w:rPr>
                <w:color w:val="94A3B8"/>
                <w:sz w:val="16"/>
              </w:rPr>
              <w:br/>
            </w:r>
            <w:r>
              <w:rPr>
                <w:b/>
                <w:color w:val="1A365D"/>
              </w:rPr>
              <w:t>~Month 9</w:t>
            </w:r>
          </w:p>
        </w:tc>
      </w:tr>
    </w:tbl>
    <w:p w14:paraId="0F7E10AA" w14:textId="77777777" w:rsidR="006B4F28" w:rsidRDefault="00000000">
      <w:pPr>
        <w:spacing w:before="80" w:after="80"/>
      </w:pPr>
      <w:r>
        <w:rPr>
          <w:color w:val="AABBCC"/>
          <w:sz w:val="16"/>
        </w:rPr>
        <w:t>MV cable: illustrative 1 km × €20,000/km — adjust for site distance. RTB + EAC connection terms apply for standard tier ≤8 MW. Above 8 MW, higher EAC connection cost tiers apply. All figures indicative; formal EPC proposal on request.</w:t>
      </w:r>
    </w:p>
    <w:p w14:paraId="7251FD02" w14:textId="77777777" w:rsidR="006B4F28" w:rsidRDefault="006B4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6"/>
        <w:gridCol w:w="4642"/>
      </w:tblGrid>
      <w:tr w:rsidR="006B4F28" w14:paraId="3D69EB30" w14:textId="77777777">
        <w:tc>
          <w:tcPr>
            <w:tcW w:w="5760" w:type="dxa"/>
            <w:shd w:val="clear" w:color="auto" w:fill="1A365D"/>
          </w:tcPr>
          <w:p w14:paraId="4E64245C" w14:textId="4E0B24AA" w:rsidR="006B4F28" w:rsidRDefault="00000000">
            <w:pPr>
              <w:spacing w:before="50" w:after="50"/>
            </w:pPr>
            <w:r>
              <w:rPr>
                <w:color w:val="8899AA"/>
                <w:sz w:val="16"/>
              </w:rPr>
              <w:t xml:space="preserve">Contact: </w:t>
            </w:r>
            <w:r>
              <w:rPr>
                <w:b/>
                <w:color w:val="FFFFFF"/>
                <w:sz w:val="18"/>
              </w:rPr>
              <w:t xml:space="preserve">Alexander Papacosta    </w:t>
            </w:r>
            <w:r>
              <w:rPr>
                <w:color w:val="8899AA"/>
                <w:sz w:val="16"/>
              </w:rPr>
              <w:t xml:space="preserve">Phone: </w:t>
            </w:r>
            <w:r>
              <w:rPr>
                <w:b/>
                <w:color w:val="FFFFFF"/>
                <w:sz w:val="18"/>
              </w:rPr>
              <w:t xml:space="preserve">+357 99 164 158    </w:t>
            </w:r>
            <w:r>
              <w:rPr>
                <w:color w:val="8899AA"/>
                <w:sz w:val="16"/>
              </w:rPr>
              <w:t xml:space="preserve">Email: </w:t>
            </w:r>
            <w:r>
              <w:rPr>
                <w:b/>
                <w:color w:val="FFFFFF"/>
                <w:sz w:val="18"/>
              </w:rPr>
              <w:t xml:space="preserve">alexander.papacosta@lighthief.com    </w:t>
            </w:r>
            <w:r>
              <w:rPr>
                <w:color w:val="8899AA"/>
                <w:sz w:val="16"/>
              </w:rPr>
              <w:t xml:space="preserve">Web: </w:t>
            </w:r>
            <w:r>
              <w:rPr>
                <w:b/>
                <w:color w:val="FFFFFF"/>
                <w:sz w:val="18"/>
              </w:rPr>
              <w:t>lighthief.</w:t>
            </w:r>
            <w:r w:rsidR="00EB23DD">
              <w:rPr>
                <w:b/>
                <w:color w:val="FFFFFF"/>
                <w:sz w:val="18"/>
              </w:rPr>
              <w:t>cy</w:t>
            </w:r>
            <w:r>
              <w:rPr>
                <w:b/>
                <w:color w:val="FFFFFF"/>
                <w:sz w:val="18"/>
              </w:rPr>
              <w:t xml:space="preserve">    </w:t>
            </w:r>
          </w:p>
        </w:tc>
        <w:tc>
          <w:tcPr>
            <w:tcW w:w="4986" w:type="dxa"/>
            <w:shd w:val="clear" w:color="auto" w:fill="1A365D"/>
          </w:tcPr>
          <w:p w14:paraId="72D3AB92" w14:textId="77777777" w:rsidR="006B4F28" w:rsidRDefault="00000000">
            <w:pPr>
              <w:spacing w:before="50" w:after="50"/>
              <w:jc w:val="right"/>
            </w:pPr>
            <w:r>
              <w:rPr>
                <w:color w:val="667788"/>
                <w:sz w:val="16"/>
              </w:rPr>
              <w:t>Lighthief Cyprus Ltd · HE 477423</w:t>
            </w:r>
            <w:r>
              <w:rPr>
                <w:color w:val="667788"/>
                <w:sz w:val="16"/>
              </w:rPr>
              <w:br/>
              <w:t>28 October Ave 249, Lophitis Business Center, Office 201</w:t>
            </w:r>
            <w:r>
              <w:rPr>
                <w:color w:val="667788"/>
                <w:sz w:val="16"/>
              </w:rPr>
              <w:br/>
              <w:t>3035 Limassol, Cyprus</w:t>
            </w:r>
          </w:p>
        </w:tc>
      </w:tr>
    </w:tbl>
    <w:p w14:paraId="237060B0" w14:textId="77777777" w:rsidR="00E9098C" w:rsidRDefault="00E9098C"/>
    <w:sectPr w:rsidR="00E9098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589037">
    <w:abstractNumId w:val="8"/>
  </w:num>
  <w:num w:numId="2" w16cid:durableId="1822768909">
    <w:abstractNumId w:val="6"/>
  </w:num>
  <w:num w:numId="3" w16cid:durableId="1832015708">
    <w:abstractNumId w:val="5"/>
  </w:num>
  <w:num w:numId="4" w16cid:durableId="1303118919">
    <w:abstractNumId w:val="4"/>
  </w:num>
  <w:num w:numId="5" w16cid:durableId="1247768702">
    <w:abstractNumId w:val="7"/>
  </w:num>
  <w:num w:numId="6" w16cid:durableId="1161626739">
    <w:abstractNumId w:val="3"/>
  </w:num>
  <w:num w:numId="7" w16cid:durableId="1752501633">
    <w:abstractNumId w:val="2"/>
  </w:num>
  <w:num w:numId="8" w16cid:durableId="509098819">
    <w:abstractNumId w:val="1"/>
  </w:num>
  <w:num w:numId="9" w16cid:durableId="4700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F28"/>
    <w:rsid w:val="00AA1D8D"/>
    <w:rsid w:val="00AB3B5F"/>
    <w:rsid w:val="00B47730"/>
    <w:rsid w:val="00CB0664"/>
    <w:rsid w:val="00E9098C"/>
    <w:rsid w:val="00EB2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A0569"/>
  <w14:defaultImageDpi w14:val="300"/>
  <w15:docId w15:val="{2B843480-B354-4964-B493-E966B476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966</Words>
  <Characters>5509</Characters>
  <Application>Microsoft Office Word</Application>
  <DocSecurity>0</DocSecurity>
  <Lines>166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Papacosta</cp:lastModifiedBy>
  <cp:revision>2</cp:revision>
  <dcterms:created xsi:type="dcterms:W3CDTF">2013-12-23T23:15:00Z</dcterms:created>
  <dcterms:modified xsi:type="dcterms:W3CDTF">2026-04-28T11:05:00Z</dcterms:modified>
  <cp:category/>
</cp:coreProperties>
</file>