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лулулул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вллвлввл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лалала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бчдчдвдв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