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Arial" w:cs="Arial" w:eastAsia="Arial" w:hAnsi="Arial"/>
          <w:u w:val="none"/>
        </w:rPr>
      </w:pPr>
      <w:bookmarkStart w:colFirst="0" w:colLast="0" w:name="_6qalw1nx4vo2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Skills/e</w:t>
      </w:r>
      <w:r w:rsidDel="00000000" w:rsidR="00000000" w:rsidRPr="00000000">
        <w:rPr>
          <w:rFonts w:ascii="Arial" w:cs="Arial" w:eastAsia="Arial" w:hAnsi="Arial"/>
          <w:u w:val="none"/>
          <w:rtl w:val="0"/>
        </w:rPr>
        <w:t xml:space="preserve">xpertise</w:t>
      </w:r>
    </w:p>
    <w:tbl>
      <w:tblPr>
        <w:tblStyle w:val="Table1"/>
        <w:tblW w:w="10590.0" w:type="dxa"/>
        <w:jc w:val="left"/>
        <w:tblInd w:w="-346.1199951171875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920"/>
        <w:gridCol w:w="5670"/>
        <w:tblGridChange w:id="0">
          <w:tblGrid>
            <w:gridCol w:w="492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Doc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4"/>
              </w:numPr>
              <w:spacing w:after="0" w:afterAutospacing="0" w:before="111.01806640625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 architectures, taxonomies.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 docs, how-to use cases, code samples, references. 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guides, online help, tooltips.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Training, tutorials, video scripts.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Management reports, white papers.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RFPs, RFIs, and RFQs.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 writing classes.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Doc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after="0" w:afterAutospacing="0" w:before="124.600830078125" w:line="360" w:lineRule="auto"/>
              <w:ind w:left="720" w:right="39.079589843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 management (CMS, CCMS), structured text, single-sourcing: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right="39.079589843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XML, DITA, DocBook.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right="347.879638671875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Paligo.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right="347.879638671875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MadCap Flare.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right="347.879638671875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Adobe Creative Suite.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right="347.879638671875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Ixiasoft.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Workspace, Microsoft Office, Atlassian Confluence, wikis.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right="39.079589843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Docs-as-code, markdown.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Visio, Lucidchart, PowerPoint.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spacing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Pandoc.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after="0" w:afterAutospacing="0" w:before="124.599609375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Agile, scrum mastery.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Jira, Zendesk.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Git, Jenkins.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 project management.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 format conversion.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 tool migration.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 team training.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Automated doc publishing pipelines.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36.5997314453125" w:line="360" w:lineRule="auto"/>
              <w:ind w:right="725.0811767578125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SDLC, software, languages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36.5997314453125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API, SDKs, Java, C, Python.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 docs, how-to use cases, code samples, references.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before="0" w:beforeAutospacing="0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Supervised Machine Learning (ML), data annotation.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36.5997314453125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Linux and network system administration.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Software-as-a-Service (SaaS) and on-prem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Kubernetes, Docker.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before="0" w:beforeAutospacing="0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AWS, GCP, Microsoft Azure.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36.5997314453125" w:line="360" w:lineRule="auto"/>
              <w:ind w:right="725.0811767578125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Cybersecurity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before="36.5997314453125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ops, TLS certificate management, SOPs for incident management.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Risk assessment.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right="190.280761718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governance, risk analysis, and standards compliance.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Zero-Trust, Trusted Execution Environment (TEE).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before="0" w:beforeAutospacing="0" w:line="360" w:lineRule="auto"/>
              <w:ind w:left="720" w:right="725.081176757812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Cybersecurity networks, systems, and security policy frameworks.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85498046875" w:line="240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footerReference r:id="rId8" w:type="first"/>
          <w:pgSz w:h="15840" w:w="12240" w:orient="portrait"/>
          <w:pgMar w:bottom="1591.9999694824219" w:top="1250" w:left="1133.6000061035156" w:right="1151.76025390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rFonts w:ascii="Arial" w:cs="Arial" w:eastAsia="Arial" w:hAnsi="Arial"/>
        </w:rPr>
      </w:pPr>
      <w:bookmarkStart w:colFirst="0" w:colLast="0" w:name="_gv8eg96cd73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Experience </w:t>
      </w:r>
    </w:p>
    <w:p w:rsidR="00000000" w:rsidDel="00000000" w:rsidP="00000000" w:rsidRDefault="00000000" w:rsidRPr="00000000" w14:paraId="0000002F">
      <w:pPr>
        <w:keepNext w:val="1"/>
        <w:widowControl w:val="0"/>
        <w:ind w:left="0" w:right="161.24145507812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Senior Technical Writer, Amazon Web Services, June 2024 to October 2024</w:t>
      </w:r>
    </w:p>
    <w:p w:rsidR="00000000" w:rsidDel="00000000" w:rsidP="00000000" w:rsidRDefault="00000000" w:rsidRPr="00000000" w14:paraId="00000030">
      <w:pPr>
        <w:widowControl w:val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Docs for AWS Elemental Media*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1"/>
        </w:numPr>
        <w:ind w:left="720" w:right="161.241455078125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MediaPackage video streaming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1"/>
        </w:numPr>
        <w:ind w:left="720" w:right="161.241455078125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MediaConnect AWS cloud video streaming connections to CDNs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1"/>
        </w:numPr>
        <w:ind w:left="720" w:right="161.241455078125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MediaTailor personalized ad targeting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1"/>
        </w:numPr>
        <w:ind w:left="720" w:right="161.24145507812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Sample: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AWS Elemental MediaConnect service monitoring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40"/>
        <w:tblGridChange w:id="0">
          <w:tblGrid>
            <w:gridCol w:w="4410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Oxygen XML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AWS, internal doc build tools,SAXON parser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right="161.24145507812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Principal Technical Writer, BeeKeeperAI, June 2023 to March 2024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61.2414550781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health data owners and AI algorithm owners to run ML models in Confidential Computing/Zero-Trust secure CPU/memory enclaves: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spacing w:after="0" w:afterAutospacing="0" w:before="113.8507080078125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Sales Engineering, common boilerplate, reusable text for all features.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Product Management/Engineering, user/developer docs on tight release cycles.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DevOps, doc publishing infrastructure improvements.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before="0" w:beforeAutospacing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Sample:</w:t>
      </w:r>
      <w:hyperlink r:id="rId10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Step-by-step: Open API YAML to HTML on Confluence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tbl>
      <w:tblPr>
        <w:tblStyle w:val="Table3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40"/>
        <w:tblGridChange w:id="0">
          <w:tblGrid>
            <w:gridCol w:w="4410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Confluence, Lucidchart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Microsoft Azure, AKS, Open API, Linux,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113.8507080078125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Documentation Engineer, Privacera, January 2021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2023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61.241455078125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governance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compliance for cloud assets.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writer for Privacera Access Management and Encryption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0" w:afterAutospacing="0" w:before="113.8507080078125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Sole writer: </w:t>
      </w:r>
      <w:hyperlink r:id="rId11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Preview: Governed Data Stewardship on PrivaceraCloud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Writing team projects lead.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SaaS/on-premises sysadmin/user/developer docs for multiple products.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Encryption developer docs.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DocOps tools, processes, and training.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Structured text with DITA.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7"/>
        </w:numPr>
        <w:spacing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Sample:  </w:t>
      </w:r>
      <w:hyperlink r:id="rId12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Privacera Encryption API workflow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395"/>
        <w:tblGridChange w:id="0">
          <w:tblGrid>
            <w:gridCol w:w="445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markdown, Paligo, Confluence, Google Workspace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SaaS, AWS, GCP, Linux, Open API,Snowflake, other databases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255859375" w:line="276" w:lineRule="auto"/>
        <w:ind w:left="0" w:right="57.8393554687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Writer,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Aerospike, November 2019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December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server installation, configuration, network topologies, and performance tuning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7"/>
        </w:numPr>
        <w:spacing w:after="0" w:afterAutospacing="0" w:before="173.7255859375" w:lineRule="auto"/>
        <w:ind w:left="1440" w:right="57.839355468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Detailed network replication topologies.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right="57.839355468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Edited/published white papers and blog posts.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right="57.839355468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Partnered with support to synchronize knowledge base articles.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Programmed web doc site and other special projects.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spacing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Assisted in documenting API client libraries, message broker connectors. 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395"/>
        <w:tblGridChange w:id="0">
          <w:tblGrid>
            <w:gridCol w:w="445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reST/Sphinx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Linux,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4"/>
        <w:widowControl w:val="0"/>
        <w:spacing w:before="93.851318359375" w:line="252.8986930847168" w:lineRule="auto"/>
        <w:ind w:left="718.6000061035156" w:right="73.24462890625" w:hanging="709.0000152587891"/>
        <w:rPr>
          <w:rFonts w:ascii="Arial" w:cs="Arial" w:eastAsia="Arial" w:hAnsi="Arial"/>
        </w:rPr>
      </w:pPr>
      <w:bookmarkStart w:colFirst="0" w:colLast="0" w:name="_xfhizh7pdtd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Senior Technical Writer, Engineering, Capital One and elsewhere, March 2019 to October 2019</w:t>
      </w:r>
    </w:p>
    <w:p w:rsidR="00000000" w:rsidDel="00000000" w:rsidP="00000000" w:rsidRDefault="00000000" w:rsidRPr="00000000" w14:paraId="00000053">
      <w:pPr>
        <w:widowControl w:val="0"/>
        <w:spacing w:before="93.851318359375" w:line="252.8986930847168" w:lineRule="auto"/>
        <w:ind w:left="0" w:right="73.244628906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Independent contract technical writing for Capital One, and Silicon-Valley-based and other companies, with focus on SaaS/AWS system deployments, REST APIs, native language SDKs, and General Ledger accounting</w:t>
      </w:r>
    </w:p>
    <w:p w:rsidR="00000000" w:rsidDel="00000000" w:rsidP="00000000" w:rsidRDefault="00000000" w:rsidRPr="00000000" w14:paraId="00000054">
      <w:pPr>
        <w:widowControl w:val="0"/>
        <w:spacing w:before="93.851318359375" w:line="252.8986930847168" w:lineRule="auto"/>
        <w:ind w:left="718.6000061035156" w:right="73.24462890625" w:hanging="709.000015258789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widowControl w:val="0"/>
        <w:spacing w:before="95.850830078125" w:line="240" w:lineRule="auto"/>
        <w:ind w:left="714.1999816894531" w:right="17.445068359375" w:hanging="704.5999908447266"/>
        <w:rPr>
          <w:rFonts w:ascii="Arial" w:cs="Arial" w:eastAsia="Arial" w:hAnsi="Arial"/>
          <w:vertAlign w:val="baseline"/>
        </w:rPr>
      </w:pPr>
      <w:bookmarkStart w:colFirst="0" w:colLast="0" w:name="_31r9s5jfplqj" w:id="3"/>
      <w:bookmarkEnd w:id="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Staff Technical Writer, Illumio, February 2018 to February 2019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50830078125" w:line="276" w:lineRule="auto"/>
        <w:ind w:left="0" w:right="17.445068359375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distributed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firewall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Illumio Adaptive Security Platform Policy Compute Engine (PCE) and Virtual Enforcement Node (VEN)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5.850830078125" w:line="276" w:lineRule="auto"/>
        <w:ind w:left="1440" w:right="17.445068359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eployment/installation,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REST API guides.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17.445068359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lead to convert docs from Confluence to MadCap Flare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DITA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17.445068359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ocOps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prototype publishing system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changes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17.445068359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oached engineers in improving writing skills.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17.445068359375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Sample: </w:t>
      </w:r>
      <w:hyperlink r:id="rId13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Illumio Virtual Enforcement Node (VEN) deploy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hyperlink r:id="rId14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manage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3855"/>
        <w:tblGridChange w:id="0">
          <w:tblGrid>
            <w:gridCol w:w="4995"/>
            <w:gridCol w:w="3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Confluence, MadCap Flare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Linux, MS Windows, macOS, Ubuntu, Red Hat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6984863281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Technical Writer, Intel, September 2017 to January 2018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99853515625" w:line="276" w:lineRule="auto"/>
        <w:ind w:left="0" w:right="61.839599609375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 set for internal Intel Saffron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Anti Money Laundering (AML)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Advisor project, cognitive computing system for financial institutions to discover insights for reporting required by U.S. law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845"/>
        <w:tblGridChange w:id="0">
          <w:tblGrid>
            <w:gridCol w:w="4290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Confluence, Google Workspace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Streamsets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8408203125" w:line="276" w:lineRule="auto"/>
        <w:ind w:left="0" w:right="291.839599609375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Technical Writer, Good Technology/Blackberry, 2014 to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8408203125" w:line="276" w:lineRule="auto"/>
        <w:ind w:left="0" w:right="291.83959960937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 set for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Device Management (MDM)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policy software: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3.68408203125" w:line="276" w:lineRule="auto"/>
        <w:ind w:left="1440" w:right="291.839599609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Developer how-to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Android, iOS, macOS, and Windows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91.839599609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erver deployment planning, installation, configuration, and administration. 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1440" w:right="291.839599609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Online help for policy/MDM server.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1440" w:right="291.839599609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 analytics.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1440" w:right="291.839599609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Structured markup in DITA via MadCap Flare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4"/>
        </w:numPr>
        <w:spacing w:before="0" w:beforeAutospacing="0" w:lineRule="auto"/>
        <w:ind w:left="1440" w:right="291.839599609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Sample:  </w:t>
      </w:r>
      <w:hyperlink r:id="rId15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Good Dynamics smartphone plan, install,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hyperlink r:id="rId16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manage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3855"/>
        <w:tblGridChange w:id="0">
          <w:tblGrid>
            <w:gridCol w:w="4995"/>
            <w:gridCol w:w="3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Confluence, MadCap Flare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Linux, REST API, Android Java, iOS Objective C/Swift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175781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Technical Writer,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Ooyala, 2012 to 2014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99365234375" w:line="276" w:lineRule="auto"/>
        <w:ind w:left="0" w:right="35.8398437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 set for video streaming Software-as-a-Service (SaaS):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.599365234375" w:line="276" w:lineRule="auto"/>
        <w:ind w:left="1440" w:right="35.8398437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references and tutorials for REST and Ruby/JavaScript APIs.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35.83984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teammates defined style, terminology, standardized language, structured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topics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DITA XML, and publishing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35.83984375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Sample: </w:t>
      </w:r>
      <w:hyperlink r:id="rId17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How Ooyala Analytics Works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455"/>
        <w:tblGridChange w:id="0">
          <w:tblGrid>
            <w:gridCol w:w="439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doc tools: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DITA,  Oxygen XML, Saxon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113.8507080078125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Primary technologies: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AWS, Linux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507080078125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Freelance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Writer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various companies, 2000’s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.5999755859375" w:line="276" w:lineRule="auto"/>
        <w:ind w:left="1440" w:right="31.4392089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Nuance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Intelligent Offer Management (IOM). Sample for developers: </w:t>
      </w:r>
      <w:hyperlink r:id="rId18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Tutorials: Writing the Voice Application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31.4392089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Sample for developers: </w:t>
      </w:r>
      <w:hyperlink r:id="rId19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PayPal Express Checkout Integration Guide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31.4392089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Ariba Analysis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Sample for business analysts: </w:t>
      </w:r>
      <w:hyperlink r:id="rId20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Ariba Analysis Advanced User Guide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31.4392089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 set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Netscape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Publishing eXpert and professional service for installation at the Mexican Stock Exchange,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 Repubblica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Italian newspaper, Playboy, and other global companies.</w:t>
      </w:r>
    </w:p>
    <w:p w:rsidR="00000000" w:rsidDel="00000000" w:rsidP="00000000" w:rsidRDefault="00000000" w:rsidRPr="00000000" w14:paraId="00000078">
      <w:pPr>
        <w:pStyle w:val="Heading3"/>
        <w:widowControl w:val="0"/>
        <w:spacing w:before="414.6002197265625" w:lineRule="auto"/>
        <w:ind w:left="0" w:firstLine="0"/>
        <w:rPr>
          <w:rFonts w:ascii="Arial" w:cs="Arial" w:eastAsia="Arial" w:hAnsi="Arial"/>
          <w:i w:val="1"/>
          <w:vertAlign w:val="baseline"/>
        </w:rPr>
      </w:pPr>
      <w:bookmarkStart w:colFirst="0" w:colLast="0" w:name="_acdktmct54ai" w:id="4"/>
      <w:bookmarkEnd w:id="4"/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9.23995971679688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Master of Arts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(MA) Applied Linguistics, San Jose State University, 2009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Arts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(BA) Literature of the European Middle Ages and Renaissance, San Jose State University, 1978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8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English, Portuguese, Spanish, 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line="240" w:lineRule="auto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bookmarkStart w:colFirst="0" w:colLast="0" w:name="_ltwxb1qunwh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Portfolio</w:t>
      </w: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25"/>
        <w:tblGridChange w:id="0">
          <w:tblGrid>
            <w:gridCol w:w="1845"/>
            <w:gridCol w:w="8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4"/>
              <w:ind w:right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bookmarkStart w:colFirst="0" w:colLast="0" w:name="_1of39xnt98zj" w:id="6"/>
            <w:bookmarkEnd w:id="6"/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Generalized doc strategy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240" w:lineRule="auto"/>
              <w:ind w:left="270" w:right="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methodology for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shd w:fill="auto" w:val="clear"/>
                  <w:rtl w:val="0"/>
                </w:rPr>
                <w:t xml:space="preserve">information architectures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and doc deliverables is useful for all types of technical docs.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4"/>
              <w:spacing w:after="200" w:lineRule="auto"/>
              <w:ind w:right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bookmarkStart w:colFirst="0" w:colLast="0" w:name="_ywb4ba53xja3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Conceptual overviews</w:t>
            </w:r>
          </w:p>
          <w:p w:rsidR="00000000" w:rsidDel="00000000" w:rsidP="00000000" w:rsidRDefault="00000000" w:rsidRPr="00000000" w14:paraId="00000082">
            <w:pPr>
              <w:pStyle w:val="Heading4"/>
              <w:spacing w:after="200" w:lineRule="auto"/>
              <w:ind w:right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bookmarkStart w:colFirst="0" w:colLast="0" w:name="_1rk1092ryiv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after="200" w:line="24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How Ooyala Analytics works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200" w:line="24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Get started with Privacera Encryption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200" w:line="24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Nuance Intelligent Offer Management (IOM) concepts with tutorials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4"/>
              <w:spacing w:after="20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bookmarkStart w:colFirst="0" w:colLast="0" w:name="_7rvxc18s779f" w:id="9"/>
            <w:bookmarkEnd w:id="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Tutorials and How To’s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Step-by-step: Nuance Voice XML (vXML) JavaScript tutorial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Step-by-step: Open API YAML to HTML on Confluence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Step-by-step: Google Sheet to DocBook informaltable 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after="20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Example: Create Privacera basic data access policies for Databricks SQL table 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4"/>
              <w:spacing w:after="200" w:lineRule="auto"/>
              <w:ind w:right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bookmarkStart w:colFirst="0" w:colLast="0" w:name="_drcnk4rhe6od" w:id="10"/>
            <w:bookmarkEnd w:id="1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API/SDK 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AWS Elemental MediaConnect service monitoring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Privacera Encryption API workflow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Privacera Encryption Gateway 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after="200" w:line="360" w:lineRule="auto"/>
              <w:ind w:left="720" w:right="0" w:hanging="360"/>
              <w:rPr>
                <w:rFonts w:ascii="Arial" w:cs="Arial" w:eastAsia="Arial" w:hAnsi="Arial"/>
                <w:shd w:fill="auto" w:val="clear"/>
              </w:rPr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Writing your voice application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Rule="auto"/>
              <w:ind w:right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Software dev, plan, install, manage, sysadmin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shd w:fill="auto" w:val="clear"/>
              </w:rPr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Good Dynamics smartphone security plan, install,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and </w:t>
            </w:r>
            <w:hyperlink r:id="rId35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manage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Amazon thumbnail monitoring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spacing w:after="200" w:line="360" w:lineRule="auto"/>
              <w:ind w:left="720" w:right="0" w:hanging="360"/>
              <w:rPr>
                <w:rFonts w:ascii="Arial" w:cs="Arial" w:eastAsia="Arial" w:hAnsi="Arial"/>
                <w:shd w:fill="auto" w:val="clear"/>
              </w:rPr>
            </w:pPr>
            <w:hyperlink r:id="rId37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Illumio Virtual Enforcement Node (VEN) deploy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and </w:t>
            </w:r>
            <w:hyperlink r:id="rId3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manage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spacing w:after="200" w:lineRule="auto"/>
              <w:ind w:right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bookmarkStart w:colFirst="0" w:colLast="0" w:name="_9gwh7vusfh80" w:id="11"/>
            <w:bookmarkEnd w:id="1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Governance, security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39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Governed Data Sharing on Privacera Cloud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40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AWS thumbnail monitoring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5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41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Privacera Encryption API workflow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5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42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Privacera Encryption Gateway 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5"/>
              </w:numPr>
              <w:spacing w:after="0" w:afterAutospacing="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43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Blackberry Dynamics Security White 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5"/>
              </w:numPr>
              <w:spacing w:after="200" w:line="360" w:lineRule="auto"/>
              <w:ind w:left="720" w:right="0" w:hanging="360"/>
              <w:rPr>
                <w:rFonts w:ascii="Arial" w:cs="Arial" w:eastAsia="Arial" w:hAnsi="Arial"/>
                <w:i w:val="1"/>
                <w:shd w:fill="auto" w:val="clear"/>
              </w:rPr>
            </w:pPr>
            <w:hyperlink r:id="rId44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shd w:fill="auto" w:val="clear"/>
                  <w:rtl w:val="0"/>
                </w:rPr>
                <w:t xml:space="preserve">Biometric 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00" w:lineRule="auto"/>
        <w:ind w:right="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91.9999694824219" w:top="1250" w:left="1170" w:right="1151.76025390625" w:header="0" w:footer="720"/>
      <w:cols w:equalWidth="0" w:num="1">
        <w:col w:space="0" w:w="9918.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widowControl w:val="0"/>
      <w:tabs>
        <w:tab w:val="right" w:leader="none" w:pos="9906.399993896484"/>
        <w:tab w:val="right" w:leader="none" w:pos="9720"/>
      </w:tabs>
      <w:spacing w:after="200" w:line="240" w:lineRule="auto"/>
      <w:ind w:left="7290" w:hanging="774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       </w:t>
    </w: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  </w:t>
    </w:r>
    <w:r w:rsidDel="00000000" w:rsidR="00000000" w:rsidRPr="00000000">
      <w:rPr>
        <w:rFonts w:ascii="Arial" w:cs="Arial" w:eastAsia="Arial" w:hAnsi="Arial"/>
        <w:b w:val="1"/>
        <w:i w:val="1"/>
        <w:color w:val="000080"/>
        <w:sz w:val="24"/>
        <w:szCs w:val="24"/>
        <w:u w:val="single"/>
        <w:rtl w:val="0"/>
      </w:rPr>
      <w:t xml:space="preserve">alex.the.lange@gmail.com</w:t>
    </w:r>
    <w:r w:rsidDel="00000000" w:rsidR="00000000" w:rsidRPr="00000000">
      <w:rPr>
        <w:rFonts w:ascii="Arial" w:cs="Arial" w:eastAsia="Arial" w:hAnsi="Arial"/>
        <w:b w:val="1"/>
        <w:i w:val="1"/>
        <w:color w:val="000080"/>
        <w:sz w:val="24"/>
        <w:szCs w:val="24"/>
        <w:rtl w:val="0"/>
      </w:rPr>
      <w:t xml:space="preserve">   </w:t>
    </w: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+1 650-996-6295    Santa Clara, CA</w:t>
      <w:tab/>
      <w:tab/>
      <w:t xml:space="preserve">p. </w:t>
    </w: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widowControl w:val="0"/>
      <w:tabs>
        <w:tab w:val="right" w:leader="none" w:pos="10086.399993896484"/>
      </w:tabs>
      <w:spacing w:after="0" w:line="240" w:lineRule="auto"/>
      <w:ind w:left="0" w:right="-135" w:firstLine="0"/>
      <w:rPr>
        <w:rFonts w:ascii="Arial" w:cs="Arial" w:eastAsia="Arial" w:hAnsi="Arial"/>
        <w:i w:val="1"/>
        <w:sz w:val="18"/>
        <w:szCs w:val="18"/>
      </w:rPr>
    </w:pPr>
    <w:r w:rsidDel="00000000" w:rsidR="00000000" w:rsidRPr="00000000">
      <w:rPr>
        <w:b w:val="1"/>
        <w:i w:val="1"/>
        <w:sz w:val="24"/>
        <w:szCs w:val="24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Alexander Lange</w:t>
      <w:tab/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Versatile doc professional with focus on customers' needs:</w:t>
    </w:r>
  </w:p>
  <w:p w:rsidR="00000000" w:rsidDel="00000000" w:rsidP="00000000" w:rsidRDefault="00000000" w:rsidRPr="00000000" w14:paraId="0000009D">
    <w:pPr>
      <w:widowControl w:val="0"/>
      <w:tabs>
        <w:tab w:val="right" w:leader="none" w:pos="10086.399993896484"/>
      </w:tabs>
      <w:spacing w:after="0" w:line="240" w:lineRule="auto"/>
      <w:ind w:left="0" w:right="-135" w:firstLine="0"/>
      <w:jc w:val="right"/>
      <w:rPr>
        <w:rFonts w:ascii="Arial" w:cs="Arial" w:eastAsia="Arial" w:hAnsi="Arial"/>
        <w:i w:val="1"/>
        <w:sz w:val="18"/>
        <w:szCs w:val="18"/>
        <w:highlight w:val="whit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rapid content development, precise doc production, solid doc delivery.</w:t>
    </w:r>
    <w:r w:rsidDel="00000000" w:rsidR="00000000" w:rsidRPr="00000000">
      <w:rPr>
        <w:rtl w:val="0"/>
      </w:rPr>
    </w:r>
  </w:p>
  <w:tbl>
    <w:tblPr>
      <w:tblStyle w:val="Table11"/>
      <w:tblW w:w="9270.0" w:type="dxa"/>
      <w:jc w:val="left"/>
      <w:tblInd w:w="13.8800048828125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985"/>
      <w:gridCol w:w="1695"/>
      <w:gridCol w:w="2295"/>
      <w:gridCol w:w="2295"/>
      <w:tblGridChange w:id="0">
        <w:tblGrid>
          <w:gridCol w:w="2985"/>
          <w:gridCol w:w="1695"/>
          <w:gridCol w:w="2295"/>
          <w:gridCol w:w="2295"/>
        </w:tblGrid>
      </w:tblGridChange>
    </w:tblGrid>
    <w:tr>
      <w:trPr>
        <w:cantSplit w:val="0"/>
        <w:trHeight w:val="43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E">
          <w:pPr>
            <w:spacing w:line="240" w:lineRule="auto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hyperlink w:anchor="_6qalw1nx4vo2">
            <w:r w:rsidDel="00000000" w:rsidR="00000000" w:rsidRPr="00000000">
              <w:rPr>
                <w:rFonts w:ascii="Arial" w:cs="Arial" w:eastAsia="Arial" w:hAnsi="Arial"/>
                <w:i w:val="1"/>
                <w:color w:val="1155cc"/>
                <w:u w:val="single"/>
                <w:rtl w:val="0"/>
              </w:rPr>
              <w:t xml:space="preserve">Skills/Expertise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F">
          <w:pPr>
            <w:spacing w:line="240" w:lineRule="auto"/>
            <w:jc w:val="left"/>
            <w:rPr>
              <w:rFonts w:ascii="Arial" w:cs="Arial" w:eastAsia="Arial" w:hAnsi="Arial"/>
              <w:i w:val="1"/>
              <w:sz w:val="20"/>
              <w:szCs w:val="20"/>
            </w:rPr>
          </w:pPr>
          <w:hyperlink w:anchor="_gv8eg96cd737">
            <w:r w:rsidDel="00000000" w:rsidR="00000000" w:rsidRPr="00000000">
              <w:rPr>
                <w:rFonts w:ascii="Arial" w:cs="Arial" w:eastAsia="Arial" w:hAnsi="Arial"/>
                <w:i w:val="1"/>
                <w:color w:val="1155cc"/>
                <w:sz w:val="20"/>
                <w:szCs w:val="20"/>
                <w:u w:val="single"/>
                <w:rtl w:val="0"/>
              </w:rPr>
              <w:t xml:space="preserve">Experience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0">
          <w:pPr>
            <w:spacing w:line="240" w:lineRule="auto"/>
            <w:jc w:val="left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       </w:t>
          </w:r>
          <w:hyperlink w:anchor="_acdktmct54ai">
            <w:r w:rsidDel="00000000" w:rsidR="00000000" w:rsidRPr="00000000">
              <w:rPr>
                <w:rFonts w:ascii="Arial" w:cs="Arial" w:eastAsia="Arial" w:hAnsi="Arial"/>
                <w:i w:val="1"/>
                <w:color w:val="1155cc"/>
                <w:sz w:val="20"/>
                <w:szCs w:val="20"/>
                <w:u w:val="single"/>
                <w:rtl w:val="0"/>
              </w:rPr>
              <w:t xml:space="preserve">Education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1">
          <w:pPr>
            <w:spacing w:line="240" w:lineRule="auto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   </w:t>
          </w:r>
          <w:hyperlink w:anchor="_ltwxb1qunwhc">
            <w:r w:rsidDel="00000000" w:rsidR="00000000" w:rsidRPr="00000000">
              <w:rPr>
                <w:rFonts w:ascii="Arial" w:cs="Arial" w:eastAsia="Arial" w:hAnsi="Arial"/>
                <w:i w:val="1"/>
                <w:color w:val="1155cc"/>
                <w:u w:val="single"/>
                <w:rtl w:val="0"/>
              </w:rPr>
              <w:t xml:space="preserve">Portfolio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widowControl w:val="0"/>
      <w:spacing w:before="0" w:line="240" w:lineRule="auto"/>
      <w:ind w:left="0" w:right="-135" w:firstLine="0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widowControl w:val="0"/>
      <w:spacing w:before="0" w:line="240" w:lineRule="auto"/>
      <w:ind w:left="0" w:right="-135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highlight w:val="white"/>
      </w:rPr>
    </w:rPrDefault>
    <w:pPrDefault>
      <w:pPr>
        <w:spacing w:line="276" w:lineRule="auto"/>
        <w:ind w:right="161.2414550781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24.60006713867188" w:line="240" w:lineRule="auto"/>
      <w:ind w:left="13.8800048828125" w:firstLine="0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  <w:ind w:right="15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mediaconnect/latest/ug/monitor-with-thumbnails.html" TargetMode="External"/><Relationship Id="rId20" Type="http://schemas.openxmlformats.org/officeDocument/2006/relationships/hyperlink" Target="https://drive.google.com/file/d/1K30qsspWR9WZU1APeNja-c1-JVUn7Hcw/view?usp=sharing" TargetMode="External"/><Relationship Id="rId42" Type="http://schemas.openxmlformats.org/officeDocument/2006/relationships/hyperlink" Target="https://drive.google.com/file/d/1OFteY0vAKiawcuraMCZ3memkHN-JRNBQ/view?usp=sharing" TargetMode="External"/><Relationship Id="rId41" Type="http://schemas.openxmlformats.org/officeDocument/2006/relationships/hyperlink" Target="https://drive.google.com/file/d/1V2qaDtHXihtkY20ESG6zhcS01XV4Imbc/view?usp=sharing" TargetMode="External"/><Relationship Id="rId22" Type="http://schemas.openxmlformats.org/officeDocument/2006/relationships/hyperlink" Target="https://docs.google.com/document/d/1zggcfhZpc-Iw7oxNNP3ZFZYKkJGpRLywdIiq9ON96wg/edit?tab=t.0" TargetMode="External"/><Relationship Id="rId44" Type="http://schemas.openxmlformats.org/officeDocument/2006/relationships/hyperlink" Target="https://drive.google.com/file/d/1CFPo7OibYGq-PWN9KtK_0BtmNzIymVgg/view?usp=sharing" TargetMode="External"/><Relationship Id="rId21" Type="http://schemas.openxmlformats.org/officeDocument/2006/relationships/hyperlink" Target="https://docs.google.com/document/d/1zggcfhZpc-Iw7oxNNP3ZFZYKkJGpRLywdIiq9ON96wg/edit?tab=t.0" TargetMode="External"/><Relationship Id="rId43" Type="http://schemas.openxmlformats.org/officeDocument/2006/relationships/hyperlink" Target="https://drive.google.com/file/d/1XqG-DRaabzrVHDVfDHQ0U-FDRHrvsAX4/view?usp=sharing" TargetMode="External"/><Relationship Id="rId24" Type="http://schemas.openxmlformats.org/officeDocument/2006/relationships/hyperlink" Target="https://drive.google.com/file/d/1V2qaDtHXihtkY20ESG6zhcS01XV4Imbc/view?usp=sharing" TargetMode="External"/><Relationship Id="rId23" Type="http://schemas.openxmlformats.org/officeDocument/2006/relationships/hyperlink" Target="https://drive.google.com/file/d/1Ecay_LkBWZLA61phbE5eCd5Tvck9Gr-6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mediaconnect/latest/ug/emx.thumbnails.html" TargetMode="External"/><Relationship Id="rId26" Type="http://schemas.openxmlformats.org/officeDocument/2006/relationships/hyperlink" Target="https://drive.google.com/file/d/1cZrpz_cpheDleE0KyTqNOxShIKs7Ab3d/view?usp=sharing" TargetMode="External"/><Relationship Id="rId25" Type="http://schemas.openxmlformats.org/officeDocument/2006/relationships/hyperlink" Target="https://drive.google.com/file/d/1lX3Dlu9I7bEnX1j0goWt1YJ6KumwzDBt/view?usp=sharing" TargetMode="External"/><Relationship Id="rId28" Type="http://schemas.openxmlformats.org/officeDocument/2006/relationships/hyperlink" Target="https://drive.google.com/file/d/1mAJfMsDXF3wE8hjaW2_Skc_uOlP-sJaA/view?usp=sharing" TargetMode="External"/><Relationship Id="rId27" Type="http://schemas.openxmlformats.org/officeDocument/2006/relationships/hyperlink" Target="https://drive.google.com/file/d/1hyE6pZzrBgcGvSxwpncAMHQNpeQhjWzs/view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yperlink" Target="https://privacera.com/docs/en/example--create-basic-policies-for-databricks-sql-table-access-553228.html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31" Type="http://schemas.openxmlformats.org/officeDocument/2006/relationships/hyperlink" Target="https://drive.google.com/file/d/1V2qaDtHXihtkY20ESG6zhcS01XV4Imbc/view?usp=sharing" TargetMode="External"/><Relationship Id="rId30" Type="http://schemas.openxmlformats.org/officeDocument/2006/relationships/hyperlink" Target="https://docs.aws.amazon.com/mediaconnect/latest/ug/emx.thumbnails.html" TargetMode="External"/><Relationship Id="rId11" Type="http://schemas.openxmlformats.org/officeDocument/2006/relationships/hyperlink" Target="https://drive.google.com/file/d/1H9QIOug44n3aME56pTY1_9x1d_wpUpXj/view?usp=sharing" TargetMode="External"/><Relationship Id="rId33" Type="http://schemas.openxmlformats.org/officeDocument/2006/relationships/hyperlink" Target="https://drive.google.com/file/d/1cZrpz_cpheDleE0KyTqNOxShIKs7Ab3d/view?usp=sharing" TargetMode="External"/><Relationship Id="rId10" Type="http://schemas.openxmlformats.org/officeDocument/2006/relationships/hyperlink" Target="https://drive.google.com/file/d/1hyE6pZzrBgcGvSxwpncAMHQNpeQhjWzs/view?usp=sharing" TargetMode="External"/><Relationship Id="rId32" Type="http://schemas.openxmlformats.org/officeDocument/2006/relationships/hyperlink" Target="https://drive.google.com/file/d/1OFteY0vAKiawcuraMCZ3memkHN-JRNBQ/view?usp=sharing" TargetMode="External"/><Relationship Id="rId13" Type="http://schemas.openxmlformats.org/officeDocument/2006/relationships/hyperlink" Target="https://drive.google.com/file/d/1L8256hJV2tkR5JTQ02kCpIIESgoIurwk/view?usp=sharing" TargetMode="External"/><Relationship Id="rId35" Type="http://schemas.openxmlformats.org/officeDocument/2006/relationships/hyperlink" Target="https://drive.google.com/file/d/1gnU4JtR7fDTA-yaRTdLTfenoqFqs_IYz/view?usp=sharing" TargetMode="External"/><Relationship Id="rId12" Type="http://schemas.openxmlformats.org/officeDocument/2006/relationships/hyperlink" Target="https://drive.google.com/file/d/1V2qaDtHXihtkY20ESG6zhcS01XV4Imbc/view?usp=sharing" TargetMode="External"/><Relationship Id="rId34" Type="http://schemas.openxmlformats.org/officeDocument/2006/relationships/hyperlink" Target="https://drive.google.com/file/d/16ATMXM8hhMvId6VmzUo0NkHQsJNYXWN0/view?usp=sharing" TargetMode="External"/><Relationship Id="rId15" Type="http://schemas.openxmlformats.org/officeDocument/2006/relationships/hyperlink" Target="https://drive.google.com/file/d/16ATMXM8hhMvId6VmzUo0NkHQsJNYXWN0/view?usp=sharing" TargetMode="External"/><Relationship Id="rId37" Type="http://schemas.openxmlformats.org/officeDocument/2006/relationships/hyperlink" Target="https://drive.google.com/file/d/1L8256hJV2tkR5JTQ02kCpIIESgoIurwk/view?usp=sharing" TargetMode="External"/><Relationship Id="rId14" Type="http://schemas.openxmlformats.org/officeDocument/2006/relationships/hyperlink" Target="https://drive.google.com/file/d/1RtqU-mW1amWf0yVqp2aPVbHf4M7LVyUS/view?usp=sharing" TargetMode="External"/><Relationship Id="rId36" Type="http://schemas.openxmlformats.org/officeDocument/2006/relationships/hyperlink" Target="https://docs.aws.amazon.com/mediaconnect/latest/ug/monitor-with-thumbnails.html" TargetMode="External"/><Relationship Id="rId17" Type="http://schemas.openxmlformats.org/officeDocument/2006/relationships/hyperlink" Target="https://drive.google.com/file/d/1Ecay_LkBWZLA61phbE5eCd5Tvck9Gr-6/view?usp=sharing" TargetMode="External"/><Relationship Id="rId39" Type="http://schemas.openxmlformats.org/officeDocument/2006/relationships/hyperlink" Target="https://drive.google.com/file/d/1H9QIOug44n3aME56pTY1_9x1d_wpUpXj/view?usp=sharing" TargetMode="External"/><Relationship Id="rId16" Type="http://schemas.openxmlformats.org/officeDocument/2006/relationships/hyperlink" Target="https://drive.google.com/file/d/1gnU4JtR7fDTA-yaRTdLTfenoqFqs_IYz/view?usp=sharing" TargetMode="External"/><Relationship Id="rId38" Type="http://schemas.openxmlformats.org/officeDocument/2006/relationships/hyperlink" Target="https://drive.google.com/file/d/1RtqU-mW1amWf0yVqp2aPVbHf4M7LVyUS/view?usp=sharing" TargetMode="External"/><Relationship Id="rId19" Type="http://schemas.openxmlformats.org/officeDocument/2006/relationships/hyperlink" Target="https://drive.google.com/file/d/1u7vJBhl4Fnk4B5OgZRRyFbXtXhTwh91r/view?usp=sharing" TargetMode="External"/><Relationship Id="rId18" Type="http://schemas.openxmlformats.org/officeDocument/2006/relationships/hyperlink" Target="https://drive.google.com/file/d/1cZrpz_cpheDleE0KyTqNOxShIKs7Ab3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