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GEOTAB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Console application - JokeGenerator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refactoring.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Change:.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Installed NuGetmicrosoft.extensions.hosting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Dependency Injection, Configuration and Logging ability to the project.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Created DI services container. Move it to the separate Startup file, where we can configure services.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Moved code from Main function to EntryPoint class.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 remains in Main function is responsible for build DI Service Provider (from Startup file) and run the application (EntryPoint.Run function)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Introduce and configure DI Service Provider. Keep code clean in separate files (following MS standards)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Dependency injection results in maintainable, testable, readable, flexible, and extensible code.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Created folder Services and moved Web APIs calls into it and wrapped them in Typed HttpClient classes.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https://docs.microsoft.com/en-us/aspnet/core/fundamentals/http-requests?view=aspnetcore-5.0#typed-clients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Purpose and benefits: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Provides IntelliSense and compiler help when consuming clients.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Provide a single location to configure and interact with a particular HttpClient. For example, a single typed client might be used: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a single backend endpoint.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encapsulate all logic dealing with the endpoint.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Work with DI and can be injected where required in the app.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Used Memory Cache to keep joke categories list in local memory as those are not supposed to change very often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Purpose and benefit.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Reduce external service calls, improve performance.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Analyzed Web API used by application and created Models for Person, Joke, Category in new Models folder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use typed types instead of “dynamic” or/and clear json string. Also types can be extended in possible future application modernization or migration to Windows or Web application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New folder: Helpers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UI user prompts moved to Constant class.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Simple QueryString builder to be used to help build parameterized requests to Web API.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 Input Validator class to help implement requirements #4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New folder Exceptions contains custom exceptions that used to log real causes of exceptions and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also hide details from the user by substituting with custom user friendly messages for both security and UI/UX prospective.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New NUnit JokeGeneratorTest project.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Contains test classes for Http Client services and Input Validator class.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Purpose: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goal of unit testing is to isolate each part of the program and show that the individual parts are correct. A unit test provides a strict, written contract that the piece of code must satisfy. As a result, it affords several benefits.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Unit testing finds problems early in the development cycle. This includes both bugs in the programmer's implementation and flaws or missing parts of the specification for the unit.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All service calls are async and wrapped into try-catch blocks using custom exceptions.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 reduce processor load, make applications more responsive during long running external operations.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aspnet/core/fundamentals/http-requests?view=aspnetcore-5.0#typed-cl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