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Ce rapport trimestriel présente les résultats de communication numérique de la Direction des affaires juridiques pour le premier trimestre 2025. Il couvre les principaux indicateurs de performance de nos canaux digitaux.</w:t>
      </w:r>
    </w:p>
    <w:p>
      <w:r>
        <w:rPr>
          <w:rFonts w:ascii="Arial" w:hAnsi="Arial"/>
          <w:b/>
          <w:color w:val="C00000"/>
          <w:sz w:val="22"/>
        </w:rPr>
        <w:t>Urgent - Retour attendu avant le 30 juin 2025</w:t>
      </w:r>
    </w:p>
    <w:p>
      <w:r>
        <w:t>La direction demande un retour rapide sur les indicateurs.</w:t>
      </w:r>
    </w:p>
    <w:p>
      <w:pPr>
        <w:pStyle w:val="Heading2"/>
      </w:pPr>
      <w:r>
        <w:t>Résultats du trimestre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val="true"/>
        </w:trP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Indicateur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T4 2024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T1 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Évolution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Visiteurs uniques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45 200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50 600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+12 %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Pages vues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128 000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142 000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+11 %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Taux de rebond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42 %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38 %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-4 pts</w:t>
            </w:r>
          </w:p>
        </w:tc>
      </w:tr>
    </w:tbl>
    <w:p/>
    <w:p>
      <w:pPr>
        <w:pStyle w:val="Heading3"/>
      </w:pPr>
      <w:r>
        <w:t>Détail par canal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8880"/>
            <wp:docPr id="1" name="Picture 1" descr="Graphique d'évolution du trafic web T1 2025 : visiteurs uniques en hausse de 12 %, pages vues +11 %, taux de rebond en baisse de 4 points." title="Trafic web T1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accessi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Organisation du 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Organigramme de la Direction des affaires juridiques (description ci-dessous)." title="Organigramme du serv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sz w:val="20"/>
        </w:rPr>
        <w:t>La Direction des affaires juridiques comprend 4 bureaux : le Bureau du droit public, le Bureau du droit social, le Bureau de la communication et le Bureau des affaires internationales. Chaque bureau est rattache directement a la direction.</w:t>
      </w:r>
    </w:p>
    <w:p/>
    <w:p>
      <w:pPr>
        <w:pStyle w:val="Heading2"/>
      </w:pPr>
      <w:r>
        <w:t>Contact</w:t>
      </w:r>
    </w:p>
    <w:p>
      <w:r>
        <w:t xml:space="preserve">Pour toute question, contactez-nous par </w:t>
      </w:r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e-mail pour plus d'informations.</w:t>
      </w:r>
    </w:p>
    <w:p/>
    <w:p>
      <w:pPr>
        <w:pStyle w:val="Heading2"/>
      </w:pPr>
      <w:r>
        <w:t>Annexes</w:t>
      </w:r>
    </w:p>
    <w:p>
      <w:r>
        <w:rPr>
          <w:color w:val="0000FF"/>
          <w:u w:val="single"/>
        </w:rPr>
        <w:t>Consulter les annexes du rapport T1 2025 (PDF, 1,2 Mo)</w:t>
      </w:r>
    </w:p>
    <w:p>
      <w:r>
        <w:rPr>
          <w:rFonts w:ascii="Arial" w:hAnsi="Arial"/>
          <w:color w:val="595959"/>
          <w:sz w:val="18"/>
        </w:rPr>
        <w:t>Note : les données sont provisoires et susceptibles d'ajustements lors de la consolidation finale.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Direction des affaires juridiques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trimestriel – Bilan T1 2025</dc:title>
  <dc:subject>Bilan communication numérique T1 2025</dc:subject>
  <dc:creator>Sami Dupont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