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91"/>
          <w:sz w:val="32"/>
        </w:rPr>
        <w:t>Introduction</w:t>
      </w:r>
    </w:p>
    <w:p>
      <w:r>
        <w:t>Ce rapport trimestriel présente les résultats de communication numérique de la Direction des affaires juridiques pour le premier trimestre 2025. Il couvre les principaux indicateurs de performance de nos canaux digitaux.</w:t>
      </w:r>
    </w:p>
    <w:p>
      <w:r>
        <w:rPr>
          <w:rFonts w:ascii="Arial" w:hAnsi="Arial"/>
          <w:color w:val="FF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r>
        <w:rPr>
          <w:rFonts w:ascii="Arial" w:hAnsi="Arial"/>
          <w:b/>
          <w:color w:val="000091"/>
          <w:sz w:val="28"/>
        </w:rP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Indicateur</w:t>
            </w:r>
          </w:p>
        </w:tc>
        <w:tc>
          <w:tcPr>
            <w:tcW w:type="dxa" w:w="2160"/>
          </w:tcPr>
          <w:p>
            <w:r>
              <w:t>T4 2024</w:t>
            </w:r>
          </w:p>
        </w:tc>
        <w:tc>
          <w:tcPr>
            <w:tcW w:type="dxa" w:w="2160"/>
          </w:tcPr>
          <w:p>
            <w:r>
              <w:t>T1 2025</w:t>
            </w:r>
          </w:p>
        </w:tc>
        <w:tc>
          <w:tcPr>
            <w:tcW w:type="dxa" w:w="2160"/>
          </w:tcPr>
          <w:p>
            <w:r>
              <w:t>Évolution</w:t>
            </w:r>
          </w:p>
        </w:tc>
      </w:tr>
      <w:tr>
        <w:tc>
          <w:tcPr>
            <w:tcW w:type="dxa" w:w="2160"/>
          </w:tcPr>
          <w:p>
            <w:r>
              <w:t>Visiteurs uniques</w:t>
            </w:r>
          </w:p>
        </w:tc>
        <w:tc>
          <w:tcPr>
            <w:tcW w:type="dxa" w:w="2160"/>
          </w:tcPr>
          <w:p>
            <w:r>
              <w:t>45 200</w:t>
            </w:r>
          </w:p>
        </w:tc>
        <w:tc>
          <w:tcPr>
            <w:tcW w:type="dxa" w:w="2160"/>
          </w:tcPr>
          <w:p>
            <w:r>
              <w:t>50 600</w:t>
            </w:r>
          </w:p>
        </w:tc>
        <w:tc>
          <w:tcPr>
            <w:tcW w:type="dxa" w:w="2160"/>
          </w:tcPr>
          <w:p>
            <w:r>
              <w:t>+12 %</w:t>
            </w:r>
          </w:p>
        </w:tc>
      </w:tr>
      <w:tr>
        <w:tc>
          <w:tcPr>
            <w:tcW w:type="dxa" w:w="2160"/>
          </w:tcPr>
          <w:p>
            <w:r>
              <w:t>Pages vues</w:t>
            </w:r>
          </w:p>
        </w:tc>
        <w:tc>
          <w:tcPr>
            <w:tcW w:type="dxa" w:w="2160"/>
          </w:tcPr>
          <w:p>
            <w:r>
              <w:t>128 000</w:t>
            </w:r>
          </w:p>
        </w:tc>
        <w:tc>
          <w:tcPr>
            <w:tcW w:type="dxa" w:w="2160"/>
          </w:tcPr>
          <w:p>
            <w:r>
              <w:t>142 000</w:t>
            </w:r>
          </w:p>
        </w:tc>
        <w:tc>
          <w:tcPr>
            <w:tcW w:type="dxa" w:w="2160"/>
          </w:tcPr>
          <w:p>
            <w:r>
              <w:t>+11 %</w:t>
            </w:r>
          </w:p>
        </w:tc>
      </w:tr>
      <w:tr>
        <w:tc>
          <w:tcPr>
            <w:tcW w:type="dxa" w:w="2160"/>
          </w:tcPr>
          <w:p>
            <w:r>
              <w:t>Taux de rebond</w:t>
            </w:r>
          </w:p>
        </w:tc>
        <w:tc>
          <w:tcPr>
            <w:tcW w:type="dxa" w:w="2160"/>
          </w:tcPr>
          <w:p>
            <w:r>
              <w:t>42 %</w:t>
            </w:r>
          </w:p>
        </w:tc>
        <w:tc>
          <w:tcPr>
            <w:tcW w:type="dxa" w:w="2160"/>
          </w:tcPr>
          <w:p>
            <w:r>
              <w:t>38 %</w:t>
            </w:r>
          </w:p>
        </w:tc>
        <w:tc>
          <w:tcPr>
            <w:tcW w:type="dxa" w:w="2160"/>
          </w:tcPr>
          <w:p>
            <w:r>
              <w:t>-4 pts</w:t>
            </w:r>
          </w:p>
        </w:tc>
      </w:tr>
    </w:tbl>
    <w:p/>
    <w:p>
      <w:r>
        <w:rPr>
          <w:rFonts w:ascii="Arial" w:hAnsi="Arial"/>
          <w:b/>
          <w:color w:val="000091"/>
          <w:sz w:val="24"/>
          <w:u w:val="single"/>
        </w:rP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Arial" w:hAnsi="Arial"/>
          <w:b/>
          <w:color w:val="000091"/>
          <w:sz w:val="28"/>
        </w:rPr>
        <w:t>Organisation du service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Arial" w:hAnsi="Arial"/>
          <w:b/>
          <w:color w:val="000091"/>
          <w:sz w:val="28"/>
        </w:rPr>
        <w:t>Contact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/>
    <w:p>
      <w:r>
        <w:rPr>
          <w:rFonts w:ascii="Arial" w:hAnsi="Arial"/>
          <w:b/>
          <w:color w:val="000091"/>
          <w:sz w:val="28"/>
        </w:rPr>
        <w:t>Annexes</w:t>
      </w:r>
    </w:p>
    <w:p>
      <w:r>
        <w:t xml:space="preserve">Pour accéder aux annexes, </w:t>
      </w:r>
      <w:r>
        <w:rPr>
          <w:color w:val="0000FF"/>
          <w:u w:val="single"/>
        </w:rPr>
        <w:t>cliquez ici</w:t>
      </w:r>
      <w:r>
        <w:t>.</w:t>
      </w:r>
    </w:p>
    <w:p>
      <w:r>
        <w:rPr>
          <w:rFonts w:ascii="Arial" w:hAnsi="Arial"/>
          <w:color w:val="767676"/>
          <w:sz w:val="18"/>
        </w:rPr>
        <w:t>Note : les données sont provisoires et susceptibles d’ajustements lors de la consolidation finale.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Direction des affaires juridiques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