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40F0" w:rsidRDefault="00000000">
      <w:pPr>
        <w:pStyle w:val="Titre1"/>
      </w:pPr>
      <w:bookmarkStart w:id="0" w:name="Xa9ad63bf0c1ed96b31c12b8552099242dcf3281"/>
      <w:r>
        <w:t>L’accessibilité numérique pour la bureautique et le web</w:t>
      </w:r>
    </w:p>
    <w:p w:rsidR="004240F0" w:rsidRDefault="00000000">
      <w:pPr>
        <w:pStyle w:val="FirstParagraph"/>
      </w:pPr>
      <w:r>
        <w:t>Code : 102846</w:t>
      </w:r>
    </w:p>
    <w:p w:rsidR="004240F0" w:rsidRDefault="00000000">
      <w:pPr>
        <w:pStyle w:val="Titre2"/>
      </w:pPr>
      <w:bookmarkStart w:id="1" w:name="Xdfe82ef0173840f2ada794b4cc6930e4381b04c"/>
      <w:r>
        <w:t>Comprendre l’accessibilité numérique et son cadre légal</w:t>
      </w:r>
    </w:p>
    <w:p w:rsidR="004240F0" w:rsidRDefault="00000000">
      <w:pPr>
        <w:pStyle w:val="Compact"/>
        <w:numPr>
          <w:ilvl w:val="0"/>
          <w:numId w:val="2"/>
        </w:numPr>
      </w:pPr>
      <w:r>
        <w:t>Introduction à l’accessibilité numérique et cadre légal</w:t>
      </w:r>
    </w:p>
    <w:p w:rsidR="004240F0" w:rsidRDefault="00000000">
      <w:pPr>
        <w:pStyle w:val="Compact"/>
        <w:numPr>
          <w:ilvl w:val="0"/>
          <w:numId w:val="2"/>
        </w:numPr>
      </w:pPr>
      <w:r>
        <w:t>Définition et importance de l’accessibilité numérique</w:t>
      </w:r>
    </w:p>
    <w:p w:rsidR="004240F0" w:rsidRDefault="00000000">
      <w:pPr>
        <w:pStyle w:val="Compact"/>
        <w:numPr>
          <w:ilvl w:val="0"/>
          <w:numId w:val="2"/>
        </w:numPr>
      </w:pPr>
      <w:r>
        <w:t>Les 4 principes des WCAG et les situations de handicap</w:t>
      </w:r>
    </w:p>
    <w:p w:rsidR="004240F0" w:rsidRDefault="00000000">
      <w:pPr>
        <w:pStyle w:val="Compact"/>
        <w:numPr>
          <w:ilvl w:val="0"/>
          <w:numId w:val="2"/>
        </w:numPr>
      </w:pPr>
      <w:r>
        <w:t>Règles transversales : FALC, langage clair, contraste</w:t>
      </w:r>
    </w:p>
    <w:p w:rsidR="004240F0" w:rsidRDefault="00000000">
      <w:pPr>
        <w:pStyle w:val="Compact"/>
        <w:numPr>
          <w:ilvl w:val="0"/>
          <w:numId w:val="2"/>
        </w:numPr>
      </w:pPr>
      <w:r>
        <w:t>Cadre légal et obligations des acteurs publics</w:t>
      </w:r>
    </w:p>
    <w:p w:rsidR="004240F0" w:rsidRDefault="00000000">
      <w:pPr>
        <w:pStyle w:val="Compact"/>
        <w:numPr>
          <w:ilvl w:val="0"/>
          <w:numId w:val="2"/>
        </w:numPr>
      </w:pPr>
      <w:r>
        <w:t>Analyse d’une déclaration d’accessibilité</w:t>
      </w:r>
    </w:p>
    <w:p w:rsidR="004240F0" w:rsidRDefault="00000000">
      <w:pPr>
        <w:pStyle w:val="Titre2"/>
      </w:pPr>
      <w:bookmarkStart w:id="2" w:name="X5659d0688bca81df0102e19c10f0fea9d9d427e"/>
      <w:bookmarkEnd w:id="1"/>
      <w:r>
        <w:t>Créer des documents bureautiques accessibles</w:t>
      </w:r>
    </w:p>
    <w:p w:rsidR="004240F0" w:rsidRDefault="00000000">
      <w:pPr>
        <w:pStyle w:val="Compact"/>
        <w:numPr>
          <w:ilvl w:val="0"/>
          <w:numId w:val="3"/>
        </w:numPr>
      </w:pPr>
      <w:r>
        <w:t>Importance de l’accessibilité dans les documents bureautiques</w:t>
      </w:r>
    </w:p>
    <w:p w:rsidR="004240F0" w:rsidRDefault="00000000">
      <w:pPr>
        <w:pStyle w:val="Compact"/>
        <w:numPr>
          <w:ilvl w:val="0"/>
          <w:numId w:val="3"/>
        </w:numPr>
      </w:pPr>
      <w:r>
        <w:t>Création et adaptation de documents Word</w:t>
      </w:r>
    </w:p>
    <w:p w:rsidR="004240F0" w:rsidRDefault="00000000">
      <w:pPr>
        <w:pStyle w:val="Compact"/>
        <w:numPr>
          <w:ilvl w:val="0"/>
          <w:numId w:val="3"/>
        </w:numPr>
      </w:pPr>
      <w:r>
        <w:t>Mémo LibreOffice : correspondance des fonctionnalités clés</w:t>
      </w:r>
    </w:p>
    <w:p w:rsidR="004240F0" w:rsidRDefault="00000000">
      <w:pPr>
        <w:pStyle w:val="Compact"/>
        <w:numPr>
          <w:ilvl w:val="0"/>
          <w:numId w:val="3"/>
        </w:numPr>
      </w:pPr>
      <w:r>
        <w:t>Principes de base pour l’exportation PDF accessible</w:t>
      </w:r>
    </w:p>
    <w:p w:rsidR="004240F0" w:rsidRDefault="00000000">
      <w:pPr>
        <w:pStyle w:val="Titre2"/>
      </w:pPr>
      <w:bookmarkStart w:id="3" w:name="Xc5115750dfbf4885938f6a6817f0f1bf8b08f4e"/>
      <w:bookmarkEnd w:id="2"/>
      <w:r>
        <w:t>Pratiquer les évaluations rapides d’accessibilité web (Easy Checks)</w:t>
      </w:r>
    </w:p>
    <w:p w:rsidR="004240F0" w:rsidRDefault="00000000">
      <w:pPr>
        <w:pStyle w:val="Compact"/>
        <w:numPr>
          <w:ilvl w:val="0"/>
          <w:numId w:val="4"/>
        </w:numPr>
      </w:pPr>
      <w:r>
        <w:t>Introduction aux Easy Checks et leur importance</w:t>
      </w:r>
    </w:p>
    <w:p w:rsidR="004240F0" w:rsidRDefault="00000000">
      <w:pPr>
        <w:pStyle w:val="Compact"/>
        <w:numPr>
          <w:ilvl w:val="0"/>
          <w:numId w:val="4"/>
        </w:numPr>
      </w:pPr>
      <w:r>
        <w:t>Présentation et démonstration des principales évaluations rapides</w:t>
      </w:r>
    </w:p>
    <w:p w:rsidR="004240F0" w:rsidRDefault="00000000">
      <w:pPr>
        <w:pStyle w:val="Compact"/>
        <w:numPr>
          <w:ilvl w:val="0"/>
          <w:numId w:val="4"/>
        </w:numPr>
      </w:pPr>
      <w:r>
        <w:t>Audit en binôme du site d’exercice et restitution dans la grille d’audit</w:t>
      </w:r>
    </w:p>
    <w:p w:rsidR="004240F0" w:rsidRDefault="00000000">
      <w:pPr>
        <w:pStyle w:val="Titre2"/>
      </w:pPr>
      <w:bookmarkStart w:id="4" w:name="Xf81593237c230c42f4d83ea809823ef7ce02423"/>
      <w:bookmarkEnd w:id="3"/>
      <w:r>
        <w:t>Améliorer l’accessibilité numérique des publications sur les réseaux sociaux</w:t>
      </w:r>
    </w:p>
    <w:p w:rsidR="004240F0" w:rsidRDefault="00000000">
      <w:pPr>
        <w:pStyle w:val="Compact"/>
        <w:numPr>
          <w:ilvl w:val="0"/>
          <w:numId w:val="5"/>
        </w:numPr>
      </w:pPr>
      <w:r>
        <w:t>Enjeux essentiels de l’accessibilité sur les réseaux sociaux</w:t>
      </w:r>
    </w:p>
    <w:p w:rsidR="004240F0" w:rsidRDefault="00000000">
      <w:pPr>
        <w:pStyle w:val="Compact"/>
        <w:numPr>
          <w:ilvl w:val="0"/>
          <w:numId w:val="5"/>
        </w:numPr>
      </w:pPr>
      <w:r>
        <w:t>Bonnes pratiques pour :</w:t>
      </w:r>
    </w:p>
    <w:p w:rsidR="004240F0" w:rsidRDefault="00000000">
      <w:pPr>
        <w:pStyle w:val="Compact"/>
        <w:numPr>
          <w:ilvl w:val="1"/>
          <w:numId w:val="6"/>
        </w:numPr>
      </w:pPr>
      <w:r>
        <w:t>Alternatives textuelles pour les images</w:t>
      </w:r>
    </w:p>
    <w:p w:rsidR="004240F0" w:rsidRDefault="00000000">
      <w:pPr>
        <w:pStyle w:val="Compact"/>
        <w:numPr>
          <w:ilvl w:val="1"/>
          <w:numId w:val="6"/>
        </w:numPr>
      </w:pPr>
      <w:r>
        <w:t>Usage des hashtags</w:t>
      </w:r>
    </w:p>
    <w:p w:rsidR="004240F0" w:rsidRDefault="00000000">
      <w:pPr>
        <w:pStyle w:val="Compact"/>
        <w:numPr>
          <w:ilvl w:val="1"/>
          <w:numId w:val="6"/>
        </w:numPr>
      </w:pPr>
      <w:r>
        <w:t>Émojis et leur impact</w:t>
      </w:r>
      <w:bookmarkEnd w:id="0"/>
      <w:bookmarkEnd w:id="4"/>
    </w:p>
    <w:p w:rsidR="004240F0" w:rsidRDefault="00000000">
      <w:pPr>
        <w:pStyle w:val="Compact"/>
        <w:numPr>
          <w:ilvl w:val="1"/>
          <w:numId w:val="6"/>
        </w:numPr>
      </w:pPr>
      <w:r>
        <w:t>Caractères spéciaux et faux gras (Unicode)</w:t>
      </w:r>
      <w:bookmarkEnd w:id="0"/>
      <w:bookmarkEnd w:id="4"/>
    </w:p>
    <w:p w:rsidR="004240F0" w:rsidRDefault="00000000">
      <w:pPr>
        <w:pStyle w:val="Compact"/>
        <w:numPr>
          <w:ilvl w:val="0"/>
          <w:numId w:val="5"/>
        </w:numPr>
      </w:pPr>
      <w:r>
        <w:t>Communication inclusive</w:t>
      </w:r>
    </w:p>
    <w:sectPr w:rsidR="004240F0">
      <w:headerReference w:type="default" r:id="rId7"/>
      <w:footerReference w:type="default" r:id="rId8"/>
      <w:footnotePr>
        <w:numRestart w:val="eachSect"/>
      </w:footnotePr>
      <w:pgSz w:w="11906" w:h="16838"/>
      <w:pgMar w:top="709" w:right="1417" w:bottom="1417" w:left="1417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ED3" w:rsidRDefault="006A6ED3">
      <w:pPr>
        <w:spacing w:after="0" w:line="240" w:lineRule="auto"/>
      </w:pPr>
      <w:r>
        <w:separator/>
      </w:r>
    </w:p>
  </w:endnote>
  <w:endnote w:type="continuationSeparator" w:id="0">
    <w:p w:rsidR="006A6ED3" w:rsidRDefault="006A6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rianne">
    <w:panose1 w:val="02000000000000000000"/>
    <w:charset w:val="00"/>
    <w:family w:val="auto"/>
    <w:pitch w:val="variable"/>
    <w:sig w:usb0="0000000F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40F0" w:rsidRDefault="00000000">
    <w:pPr>
      <w:jc w:val="center"/>
    </w:pPr>
    <w:r>
      <w:rPr>
        <w:color w:val="666666"/>
        <w:sz w:val="18"/>
      </w:rPr>
      <w:t>Programme IGPDE 102846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ED3" w:rsidRDefault="006A6ED3">
      <w:pPr>
        <w:spacing w:after="0" w:line="240" w:lineRule="auto"/>
      </w:pPr>
      <w:r>
        <w:separator/>
      </w:r>
    </w:p>
  </w:footnote>
  <w:footnote w:type="continuationSeparator" w:id="0">
    <w:p w:rsidR="006A6ED3" w:rsidRDefault="006A6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40F0" w:rsidRDefault="00000000">
    <w:pPr>
      <w:ind w:hanging="1701"/>
    </w:pPr>
    <w:r>
      <w:rPr>
        <w:noProof/>
        <w:lang w:eastAsia="fr-FR"/>
      </w:rPr>
      <w:drawing>
        <wp:inline distT="0" distB="0" distL="0" distR="0">
          <wp:extent cx="7534783" cy="1962150"/>
          <wp:effectExtent l="0" t="0" r="9525" b="0"/>
          <wp:docPr id="6" name="Image 6" descr="Logo &quot;République Française&quot; et &quot;IGPDE&quot;, Offre de formation de l'Institut de la gestion publique et du développement économi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 &quot;République Française&quot; et &quot;IGPDE&quot;, Offre de formation de l'Institut de la gestion publique et du développement économiqu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009" cy="1964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7234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0EA4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9805177">
    <w:abstractNumId w:val="0"/>
  </w:num>
  <w:num w:numId="2" w16cid:durableId="462970569">
    <w:abstractNumId w:val="1"/>
  </w:num>
  <w:num w:numId="3" w16cid:durableId="2004969347">
    <w:abstractNumId w:val="1"/>
  </w:num>
  <w:num w:numId="4" w16cid:durableId="1576668383">
    <w:abstractNumId w:val="1"/>
  </w:num>
  <w:num w:numId="5" w16cid:durableId="1888296825">
    <w:abstractNumId w:val="1"/>
  </w:num>
  <w:num w:numId="6" w16cid:durableId="1024670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0F0"/>
    <w:rsid w:val="004240F0"/>
    <w:rsid w:val="006A6ED3"/>
    <w:rsid w:val="009A0C93"/>
    <w:rsid w:val="00E5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82B549"/>
  <w15:docId w15:val="{905DA9B2-3DC1-564F-ABFF-13B213A1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Marianne" w:hAnsi="Marianne"/>
      <w:color w:val="1A1A1A"/>
      <w:sz w:val="22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pBdr>
        <w:bottom w:val="single" w:sz="12" w:space="4" w:color="000091"/>
      </w:pBdr>
      <w:spacing w:before="360" w:after="80"/>
      <w:outlineLvl w:val="0"/>
    </w:pPr>
    <w:rPr>
      <w:rFonts w:asciiTheme="majorHAnsi" w:eastAsiaTheme="majorEastAsia" w:hAnsiTheme="majorHAnsi" w:cstheme="majorBidi"/>
      <w:b/>
      <w:color w:val="000091"/>
      <w:sz w:val="36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91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00091"/>
      <w:sz w:val="24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91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color w:val="000091"/>
      <w:sz w:val="20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91"/>
      <w:sz w:val="20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0" w:after="40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91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sz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- L'accessibilité numérique pour la bureautique et le web</dc:title>
  <dc:subject>Formation IGPDE 102846</dc:subject>
  <dc:creator>IGPDE</dc:creator>
  <cp:keywords>IGPDE, 102846, accessibilité numérique, bureautique, web, réseaux sociaux</cp:keywords>
  <cp:lastModifiedBy>alex</cp:lastModifiedBy>
  <cp:revision>2</cp:revision>
  <dcterms:created xsi:type="dcterms:W3CDTF">2026-05-15T20:50:00Z</dcterms:created>
  <dcterms:modified xsi:type="dcterms:W3CDTF">2026-05-15T21:00:00Z</dcterms:modified>
  <dc:language>fr-FR</dc:language>
</cp:coreProperties>
</file>