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Bdr>
          <w:top w:val="single" w:sz="6" w:space="4" w:color="000091"/>
          <w:left w:val="single" w:sz="6" w:space="4" w:color="000091"/>
          <w:bottom w:val="single" w:sz="6" w:space="4" w:color="000091"/>
          <w:right w:val="single" w:sz="6" w:space="4" w:color="000091"/>
        </w:pBdr>
        <w:shd w:val="clear" w:color="auto" w:fill="000091"/>
        <w:spacing w:lineRule="auto" w:line="240" w:before="0" w:after="120"/>
        <w:jc w:val="center"/>
        <w:rPr/>
      </w:pPr>
      <w:r>
        <w:rPr>
          <w:rFonts w:eastAsia="Marianne" w:cs="Marianne"/>
          <w:b/>
          <w:color w:val="FFFFFF"/>
          <w:sz w:val="18"/>
          <w:szCs w:val="21"/>
          <w:lang w:val="fr-FR" w:eastAsia="fr-FR"/>
        </w:rPr>
        <w:t>Déroulé pédagogique : L'accessibilité numérique pour la bureautique et le web</w:t>
      </w:r>
    </w:p>
    <w:tbl>
      <w:tblPr>
        <w:tblStyle w:val="Grilledutableau"/>
        <w:tblW w:w="15540" w:type="dxa"/>
        <w:jc w:val="center"/>
        <w:tblInd w:w="0" w:type="dxa"/>
        <w:tblLayout w:type="fixed"/>
        <w:tblCellMar>
          <w:top w:w="90" w:type="dxa"/>
          <w:start w:w="120" w:type="dxa"/>
          <w:bottom w:w="90" w:type="dxa"/>
          <w:end w:w="120" w:type="dxa"/>
        </w:tblCellMar>
        <w:tblLook w:noHBand="0" w:lastColumn="0" w:firstColumn="1" w:lastRow="0" w:firstRow="1" w:noVBand="1" w:val="04a0"/>
      </w:tblPr>
      <w:tblGrid>
        <w:gridCol w:w="1700"/>
        <w:gridCol w:w="6200"/>
        <w:gridCol w:w="1700"/>
        <w:gridCol w:w="5940"/>
      </w:tblGrid>
      <w:tr>
        <w:trPr>
          <w:tblHeader w:val="true"/>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Action 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102846</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Durée</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1 jour</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Libellé</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L'accessibilité numérique pour la bureautique et le web</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Niveau</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Initiation</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Public</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Communicants de toutes les directions des ministères et producteurs de contenu numérique.</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Prérequis</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Aucun prérequis obligatoire. Parcours Mentor « L'essentiel de l'accessibilité de la communication de l'État » recommandé.</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Objectifs de la formation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Expliquer les enjeux de l'accessibilité numérique et son cadre légal dans le contexte de la communication. Identifier et évaluer les principales erreurs d'accessibilité. Rendre des contenus numériques accessibles.</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Compétences ciblées</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Repérer des écarts d'accessibilité observables dans un document ou une page web et distinguer un contrôle rapide d'un audit complet de conformité. Utiliser les outils d'évaluation adaptés aux exercices.</w:t>
            </w:r>
          </w:p>
          <w:p>
            <w:pPr>
              <w:pStyle w:val="Normal"/>
              <w:widowControl/>
              <w:spacing w:before="0" w:after="0"/>
              <w:jc w:val="start"/>
              <w:rPr>
                <w:kern w:val="0"/>
                <w:lang w:bidi="ar-SA"/>
              </w:rPr>
            </w:pPr>
            <w:r>
              <w:rPr>
                <w:kern w:val="0"/>
                <w:sz w:val="18"/>
                <w:lang w:bidi="ar-SA"/>
              </w:rPr>
              <w:t>Créer et adapter des contenus numériques pour garantir leur accessibilité pour divers supports.</w:t>
            </w:r>
          </w:p>
        </w:tc>
      </w:tr>
      <w:tr>
        <w:trPr/>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Organisation</w:t>
            </w:r>
          </w:p>
        </w:tc>
        <w:tc>
          <w:tcPr>
            <w:tcW w:w="62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rFonts w:eastAsia="Marianne" w:cs="Marianne"/>
                <w:b w:val="false"/>
                <w:color w:val="1E1E1E"/>
                <w:kern w:val="0"/>
                <w:sz w:val="18"/>
                <w:szCs w:val="21"/>
                <w:lang w:val="fr-FR" w:eastAsia="fr-FR" w:bidi="ar-SA"/>
              </w:rPr>
              <w:t>Formation en présentiel, salle équipée d’ordinateurs. Alternance d’apports, démonstrations, exercices guidés et ateliers en binômes.</w:t>
            </w:r>
          </w:p>
        </w:tc>
        <w:tc>
          <w:tcPr>
            <w:tcW w:w="1700" w:type="dxa"/>
            <w:tcBorders>
              <w:top w:val="single" w:sz="6" w:space="0" w:color="C7D3E3"/>
              <w:start w:val="single" w:sz="6" w:space="0" w:color="C7D3E3"/>
              <w:bottom w:val="single" w:sz="6" w:space="0" w:color="C7D3E3"/>
              <w:end w:val="single" w:sz="6" w:space="0" w:color="C7D3E3"/>
            </w:tcBorders>
            <w:shd w:fill="F2F4F8" w:val="clear"/>
          </w:tcPr>
          <w:p>
            <w:pPr>
              <w:pStyle w:val="Normal"/>
              <w:keepNext w:val="false"/>
              <w:widowControl/>
              <w:spacing w:lineRule="auto" w:line="240" w:before="0" w:after="0"/>
              <w:jc w:val="start"/>
              <w:rPr>
                <w:kern w:val="0"/>
                <w:lang w:bidi="ar-SA"/>
              </w:rPr>
            </w:pPr>
            <w:r>
              <w:rPr>
                <w:rFonts w:eastAsia="Marianne" w:cs="Marianne"/>
                <w:b/>
                <w:color w:val="000091"/>
                <w:kern w:val="0"/>
                <w:sz w:val="18"/>
                <w:szCs w:val="21"/>
                <w:lang w:val="fr-FR" w:eastAsia="fr-FR" w:bidi="ar-SA"/>
              </w:rPr>
              <w:t>Supports principaux</w:t>
            </w:r>
          </w:p>
        </w:tc>
        <w:tc>
          <w:tcPr>
            <w:tcW w:w="594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PPTX et cinq présentations projetées, documents Word du TP, site d’exercice Easy Checks, grille XLSX et exemples de publications sociales.</w:t>
            </w:r>
          </w:p>
        </w:tc>
      </w:tr>
    </w:tbl>
    <w:p>
      <w:pPr>
        <w:pStyle w:val="Heading2"/>
        <w:pBdr>
          <w:top w:val="single" w:sz="6" w:space="4" w:color="000091"/>
          <w:left w:val="single" w:sz="6" w:space="4" w:color="000091"/>
          <w:bottom w:val="single" w:sz="6" w:space="4" w:color="000091"/>
          <w:right w:val="single" w:sz="6" w:space="4" w:color="000091"/>
        </w:pBdr>
        <w:shd w:val="clear" w:color="auto" w:fill="000091"/>
        <w:spacing w:lineRule="auto" w:line="240" w:before="180" w:after="120"/>
        <w:jc w:val="center"/>
        <w:rPr/>
      </w:pPr>
      <w:r>
        <w:rPr>
          <w:rFonts w:eastAsia="Marianne" w:cs="Marianne"/>
          <w:b/>
          <w:color w:val="FFFFFF"/>
          <w:sz w:val="18"/>
          <w:szCs w:val="21"/>
          <w:lang w:val="fr-FR" w:eastAsia="fr-FR"/>
        </w:rPr>
        <w:t>JOUR 1 - MATIN</w:t>
      </w:r>
    </w:p>
    <w:tbl>
      <w:tblPr>
        <w:tblStyle w:val="TableauGrille1Clair-Accentuation1"/>
        <w:tblW w:w="15540" w:type="dxa"/>
        <w:jc w:val="center"/>
        <w:tblInd w:w="0" w:type="dxa"/>
        <w:tblLayout w:type="fixed"/>
        <w:tblCellMar>
          <w:top w:w="80" w:type="dxa"/>
          <w:start w:w="90" w:type="dxa"/>
          <w:bottom w:w="80" w:type="dxa"/>
          <w:end w:w="90" w:type="dxa"/>
        </w:tblCellMar>
        <w:tblLook w:noHBand="0" w:lastColumn="0" w:firstColumn="1" w:lastRow="0" w:firstRow="1" w:noVBand="1" w:val="04a0"/>
      </w:tblPr>
      <w:tblGrid>
        <w:gridCol w:w="1650"/>
        <w:gridCol w:w="2250"/>
        <w:gridCol w:w="3150"/>
        <w:gridCol w:w="2600"/>
        <w:gridCol w:w="2999"/>
        <w:gridCol w:w="2891"/>
      </w:tblGrid>
      <w:tr>
        <w:trPr>
          <w:tblHeader w:val="true"/>
        </w:trPr>
        <w:tc>
          <w:tcPr>
            <w:tcW w:w="16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Durée / heure</w:t>
            </w:r>
          </w:p>
        </w:tc>
        <w:tc>
          <w:tcPr>
            <w:tcW w:w="22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Séquences</w:t>
            </w:r>
          </w:p>
        </w:tc>
        <w:tc>
          <w:tcPr>
            <w:tcW w:w="31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Objectifs pédagogiques</w:t>
            </w:r>
          </w:p>
        </w:tc>
        <w:tc>
          <w:tcPr>
            <w:tcW w:w="260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Thèmes clés</w:t>
            </w:r>
          </w:p>
        </w:tc>
        <w:tc>
          <w:tcPr>
            <w:tcW w:w="2999"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Modalités pédagogiques</w:t>
            </w:r>
          </w:p>
        </w:tc>
        <w:tc>
          <w:tcPr>
            <w:tcW w:w="2891"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Outils, supports, matériels</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9h15 - 9h35</w:t>
              <w:br/>
              <w:t>20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Accueil, cadrage et constitution des binômes</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Présenter le cadre de la journée, recueillir les attentes et installer une dynamique de participation.</w:t>
              <w:br/>
              <w:t>[Bloom : se souvenir]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Objectifs de la formation, programme, présentation des intervenants, tour de table court, regroupement par binômes, icebreaker : ensemble faisons tomber les préjugés (6 idées reçues vrai/faux).</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Accueil, tour de table court, auto-positionnement oral initial, regroupement par binômes, clarification des règles de travail et activité brise-glace interactive (idées reçues vrai/faux).</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Support officiel, slides 1 à 14 ; projection : 00-introduction-et-idees-recues.pptx ; salle équipée d'ordinateurs.</w:t>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sz w:val="18"/>
                <w:lang w:bidi="ar-SA"/>
              </w:rPr>
              <w:t>9h35 - 10h20</w:t>
              <w:br/>
              <w:t>45 minutes</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Module 1 - Comprendre l'accessibilité numérique et son cadre légal</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Expliquer les enjeux de l'accessibilité numérique. Définir les 4 principes WCAG. Identifier les 4 familles de déficiences et leurs situations de handicap. Expliquer le cadre légal (RGAA, directive européenne, déclaration d'accessibilité). Formuler les règles transversales de communication accessible (FALC, contraste, QR).</w:t>
              <w:br/>
              <w:t>[Bloom : comprendre, analyser]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Définition et principes WCAG. 6 personas et matrice déficiences/besoins. Fiches solutions par type de déficience. Handicap, validisme, temporalité. Cadre légal de 2005 à aujourd'hui, cadre européen. RGAA 13 thèmes et 3 niveaux. Simulateur Obligally, déclaration d'accessibilité, obligations légales. Pourquoi agir, accessibiliser sa communication. Outils OS, règles transversales, FALC et langage clair, méthode FALC en 5 étapes, exemple DIA, accessibilité dès la conception.</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Exposé interactif, présentations de personas, lecture commentée d'une déclaration d'accessibilité, échanges guidés, démonstration du simulateur Obligally.</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Support officiel, slides 15 à 53 ; projection : 01-accessibilite-numerique-et-cadre-legal.pptx ; exemples de déclarations d'accessibilité, simulateur Obligally en ligne et guide Accessibiliser sa communication.</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10h20 - 10h30</w:t>
              <w:br/>
              <w:t>10 minutes</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du matin</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sz w:val="18"/>
                <w:lang w:bidi="ar-SA"/>
              </w:rPr>
              <w:t>10h30 - 12h00</w:t>
              <w:br/>
              <w:t>1 h 30</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Module 2 - Créer des documents bureautiques accessibles</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Identifier et corriger les obstacles d’accessibilité dans le guide Word de Sami. Appliquer une méthode par stations, vérifier le DOCX, exporter un PDF balisé et contrôler le résultat.</w:t>
              <w:br/>
              <w:t>[Bloom : appliquer, évaluer]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Démonstration lecteur d’écran et quiz diagnostic A/B. TP guidé en cinq stations : structurer et naviguer ; contenus et liens ; couleurs, graphiques et tableaux ; langues et lisibilité ; finaliser et publier. Checklist progressive, vérificateur Word, export PDF balisé, contrôle avec PAC ou Acrobat Pro et vérification humaine.</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Démonstration lecteur d’écran, quiz diagnostic, TP guidé sur le document de Sami, travail en binômes, checklist renseignée après chaque station, synthèses techniques au fil de l’eau et remise finale du corrigé de référence.</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Support officiel, slides 54 à 79 ; projection : 02-documents-bureautiques-accessibles-tp.pptx ; un DOCX de départ au choix, checklist DOCX ou papier, cartes WCAG, mémos Word et Writer, vérificateur Word, PAC ou Acrobat Pro et casque audio.</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12h00 - 12h15</w:t>
              <w:br/>
              <w:t>15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Synthèse du matin</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Consolider les réflexes immédiatement réutilisables avant de passer aux contrôles web.</w:t>
              <w:br/>
              <w:t>[Bloom : évaluer]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Acquis des parties I et II, chaîne de preuve, priorisation des premiers gestes et questions ouvertes.</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Synthèse collective, questions finales et transition vers les contrôles web.</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 80 ; checklist renseignée, DOCX corrigé et PDF contrôlé.</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12h15 - 13h45</w:t>
              <w:br/>
              <w:t>1 h 30</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déjeuner</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bl>
    <w:p>
      <w:pPr>
        <w:pStyle w:val="Heading2"/>
        <w:pBdr>
          <w:top w:val="single" w:sz="6" w:space="4" w:color="000091"/>
          <w:left w:val="single" w:sz="6" w:space="4" w:color="000091"/>
          <w:bottom w:val="single" w:sz="6" w:space="4" w:color="000091"/>
          <w:right w:val="single" w:sz="6" w:space="4" w:color="000091"/>
        </w:pBdr>
        <w:shd w:val="clear" w:color="auto" w:fill="000091"/>
        <w:spacing w:lineRule="auto" w:line="240" w:before="180" w:after="120"/>
        <w:jc w:val="center"/>
        <w:rPr/>
      </w:pPr>
      <w:r>
        <w:rPr>
          <w:rFonts w:eastAsia="Marianne" w:cs="Marianne"/>
          <w:b/>
          <w:color w:val="FFFFFF"/>
          <w:sz w:val="18"/>
          <w:szCs w:val="21"/>
          <w:lang w:val="fr-FR" w:eastAsia="fr-FR"/>
        </w:rPr>
        <w:t>JOUR 1 - APRÈS-MIDI</w:t>
      </w:r>
    </w:p>
    <w:tbl>
      <w:tblPr>
        <w:tblStyle w:val="TableauGrille1Clair-Accentuation1"/>
        <w:tblW w:w="15540" w:type="dxa"/>
        <w:jc w:val="center"/>
        <w:tblInd w:w="0" w:type="dxa"/>
        <w:tblLayout w:type="fixed"/>
        <w:tblCellMar>
          <w:top w:w="80" w:type="dxa"/>
          <w:start w:w="90" w:type="dxa"/>
          <w:bottom w:w="80" w:type="dxa"/>
          <w:end w:w="90" w:type="dxa"/>
        </w:tblCellMar>
        <w:tblLook w:noHBand="0" w:lastColumn="0" w:firstColumn="1" w:lastRow="0" w:firstRow="1" w:noVBand="1" w:val="04a0"/>
      </w:tblPr>
      <w:tblGrid>
        <w:gridCol w:w="1650"/>
        <w:gridCol w:w="2250"/>
        <w:gridCol w:w="3150"/>
        <w:gridCol w:w="2600"/>
        <w:gridCol w:w="2999"/>
        <w:gridCol w:w="2891"/>
      </w:tblGrid>
      <w:tr>
        <w:trPr>
          <w:tblHeader w:val="true"/>
        </w:trPr>
        <w:tc>
          <w:tcPr>
            <w:tcW w:w="16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Durée / heure</w:t>
            </w:r>
          </w:p>
        </w:tc>
        <w:tc>
          <w:tcPr>
            <w:tcW w:w="22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Séquences</w:t>
            </w:r>
          </w:p>
        </w:tc>
        <w:tc>
          <w:tcPr>
            <w:tcW w:w="315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Objectifs pédagogiques</w:t>
            </w:r>
          </w:p>
        </w:tc>
        <w:tc>
          <w:tcPr>
            <w:tcW w:w="2600"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Thèmes clés</w:t>
            </w:r>
          </w:p>
        </w:tc>
        <w:tc>
          <w:tcPr>
            <w:tcW w:w="2999"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Modalités pédagogiques</w:t>
            </w:r>
          </w:p>
        </w:tc>
        <w:tc>
          <w:tcPr>
            <w:tcW w:w="2891" w:type="dxa"/>
            <w:tcBorders>
              <w:top w:val="single" w:sz="6" w:space="0" w:color="C7D3E3"/>
              <w:start w:val="single" w:sz="6" w:space="0" w:color="C7D3E3"/>
              <w:bottom w:val="single" w:sz="12" w:space="0" w:color="9CC2E5"/>
              <w:end w:val="single" w:sz="6" w:space="0" w:color="C7D3E3"/>
            </w:tcBorders>
            <w:shd w:fill="000091" w:val="clear"/>
            <w:vAlign w:val="center"/>
          </w:tcPr>
          <w:p>
            <w:pPr>
              <w:pStyle w:val="Normal"/>
              <w:keepNext w:val="false"/>
              <w:widowControl/>
              <w:spacing w:lineRule="auto" w:line="240" w:before="0" w:after="0"/>
              <w:jc w:val="center"/>
              <w:rPr>
                <w:b/>
                <w:bCs/>
                <w:kern w:val="0"/>
                <w:lang w:bidi="ar-SA"/>
              </w:rPr>
            </w:pPr>
            <w:r>
              <w:rPr>
                <w:rFonts w:eastAsia="Marianne" w:cs="Marianne"/>
                <w:b/>
                <w:bCs/>
                <w:color w:val="FFFFFF"/>
                <w:kern w:val="0"/>
                <w:sz w:val="18"/>
                <w:szCs w:val="21"/>
                <w:lang w:val="fr-FR" w:eastAsia="fr-FR" w:bidi="ar-SA"/>
              </w:rPr>
              <w:t>Outils, supports, matériels</w:t>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13h45 - 15h05</w:t>
              <w:br/>
              <w:t>1 h 20</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Module 3 - Pratiquer les évaluations rapides d'accessibilité web (Easy Checks)</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Appliquer 13 points de contrôle rapides sur un site web. Repérer une non-conformité observable et formaliser un constat exploitable dans une grille d'audit.</w:t>
              <w:br/>
              <w:t>[Bloom : appliquer, analyser, évaluer]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WebAIM Million 2026 et erreurs fréquentes. 13 checks : texte alternatif (types, rédaction, exemples), titre de page, hiérarchie de titres, contraste (principe et outils), lien d'évitement, navigation clavier (5 touches, 3 signaux), langue, zoom 200 %, sous-titres (principe et auto), transcriptions, audiodescription, bonus médias (règle des 2 accès, audio-description). Étiquettes de formulaire (placeholder, groupes, champs obligatoires). Grille de remontée. Bonus liens et PDF. Mission audit en binôme 30 min.</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Démonstrations successives, manipulations guidées, audit en binôme sur le site d'exercice Easy Checks et restitution orale.</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slides 81 à 111 ; projection : 03-web-accessible-tp.pptx ; site d’exercice Easy Checks, grille XLSX, navigateur Firefox ou Edge, outils de contraste et extensions HeadingsMap et Web Developer.</w:t>
            </w:r>
          </w:p>
        </w:tc>
      </w:tr>
      <w:tr>
        <w:trPr/>
        <w:tc>
          <w:tcPr>
            <w:tcW w:w="16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b/>
                <w:bCs/>
                <w:kern w:val="0"/>
                <w:lang w:bidi="ar-SA"/>
              </w:rPr>
            </w:pPr>
            <w:r>
              <w:rPr>
                <w:b/>
                <w:bCs/>
                <w:kern w:val="0"/>
                <w:sz w:val="18"/>
                <w:lang w:bidi="ar-SA"/>
              </w:rPr>
              <w:t>15h05 - 15h20</w:t>
              <w:br/>
              <w:t>15 minutes</w:t>
            </w:r>
          </w:p>
        </w:tc>
        <w:tc>
          <w:tcPr>
            <w:tcW w:w="22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sz w:val="18"/>
                <w:lang w:bidi="ar-SA"/>
              </w:rPr>
              <w:t>Pause de l'après-midi</w:t>
            </w:r>
          </w:p>
        </w:tc>
        <w:tc>
          <w:tcPr>
            <w:tcW w:w="315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600"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999"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c>
          <w:tcPr>
            <w:tcW w:w="2891" w:type="dxa"/>
            <w:tcBorders>
              <w:top w:val="single" w:sz="6" w:space="0" w:color="C7D3E3"/>
              <w:start w:val="single" w:sz="6" w:space="0" w:color="C7D3E3"/>
              <w:bottom w:val="single" w:sz="6" w:space="0" w:color="C7D3E3"/>
              <w:end w:val="single" w:sz="6" w:space="0" w:color="C7D3E3"/>
            </w:tcBorders>
            <w:shd w:fill="EEEEEE" w:val="clear"/>
            <w:vAlign w:val="center"/>
          </w:tcPr>
          <w:p>
            <w:pPr>
              <w:pStyle w:val="Normal"/>
              <w:keepNext w:val="false"/>
              <w:widowControl/>
              <w:spacing w:lineRule="auto" w:line="240" w:before="0" w:after="0"/>
              <w:jc w:val="start"/>
              <w:rPr>
                <w:kern w:val="0"/>
                <w:lang w:bidi="ar-SA"/>
              </w:rPr>
            </w:pPr>
            <w:r>
              <w:rPr>
                <w:kern w:val="0"/>
                <w:lang w:bidi="ar-SA"/>
              </w:rPr>
            </w:r>
          </w:p>
        </w:tc>
      </w:tr>
      <w:tr>
        <w:trPr/>
        <w:tc>
          <w:tcPr>
            <w:tcW w:w="16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b/>
                <w:bCs/>
                <w:kern w:val="0"/>
                <w:lang w:bidi="ar-SA"/>
              </w:rPr>
            </w:pPr>
            <w:r>
              <w:rPr>
                <w:b/>
                <w:bCs/>
                <w:kern w:val="0"/>
                <w:sz w:val="18"/>
                <w:lang w:bidi="ar-SA"/>
              </w:rPr>
              <w:t>15h20 - 16h20</w:t>
              <w:br/>
              <w:t>60 minutes</w:t>
            </w:r>
          </w:p>
        </w:tc>
        <w:tc>
          <w:tcPr>
            <w:tcW w:w="22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Module 4 - Améliorer l'accessibilité numérique des publications sur les réseaux sociaux</w:t>
            </w:r>
          </w:p>
        </w:tc>
        <w:tc>
          <w:tcPr>
            <w:tcW w:w="315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Identifier les obstacles propres aux réseaux sociaux. Adapter une publication pour la rendre accessible (textes alternatifs, émojis, hashtags, caractères Unicode). Appliquer une checklist de publication.</w:t>
              <w:br/>
              <w:t>[Bloom : appliquer, créer]</w:t>
            </w:r>
          </w:p>
        </w:tc>
        <w:tc>
          <w:tcPr>
            <w:tcW w:w="2600"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Enjeux de l'accessibilité sur les réseaux. Analyse d'un tweet OMS (quiz, révélation, corrigé). Démonstration NVDA. 4 réflexes. Texte alternatif (pourquoi, comment rédiger, où sur chaque plateforme). Émojis (3 règles, avant/après). Hashtags CamelCase. Caractères Unicode et faux gras. Communication inclusive (représentations, cohérence). Langage inclusif. Exercice checklist en binôme. Checklist 3 volets (anticiper, rédiger, publier).</w:t>
            </w:r>
          </w:p>
        </w:tc>
        <w:tc>
          <w:tcPr>
            <w:tcW w:w="2999"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sz w:val="18"/>
                <w:lang w:bidi="ar-SA"/>
              </w:rPr>
              <w:t>Analyse d'exemples, démonstration lecteur d'écran NVDA, exercice en binôme et correction collective.</w:t>
            </w:r>
          </w:p>
        </w:tc>
        <w:tc>
          <w:tcPr>
            <w:tcW w:w="2891" w:type="dxa"/>
            <w:tcBorders>
              <w:top w:val="single" w:sz="6" w:space="0" w:color="C7D3E3"/>
              <w:start w:val="single" w:sz="6" w:space="0" w:color="C7D3E3"/>
              <w:bottom w:val="single" w:sz="6" w:space="0" w:color="C7D3E3"/>
              <w:end w:val="single" w:sz="6" w:space="0" w:color="C7D3E3"/>
            </w:tcBorders>
            <w:shd w:fill="FFFFFF" w:val="clear"/>
          </w:tcPr>
          <w:p>
            <w:pPr>
              <w:pStyle w:val="Normal"/>
              <w:keepNext w:val="false"/>
              <w:widowControl/>
              <w:spacing w:lineRule="auto" w:line="240" w:before="0" w:after="0"/>
              <w:jc w:val="start"/>
              <w:rPr>
                <w:kern w:val="0"/>
                <w:lang w:bidi="ar-SA"/>
              </w:rPr>
            </w:pPr>
            <w:r>
              <w:rPr>
                <w:kern w:val="0"/>
                <w:lang w:bidi="ar-SA"/>
              </w:rPr>
              <w:t>Support officiel, slides 112 à 132 ; projection : 04-reseaux-sociaux-accessibles.pptx ; exemples de publications et checklist réseaux sociaux en trois volets.</w:t>
            </w:r>
          </w:p>
        </w:tc>
      </w:tr>
      <w:tr>
        <w:trPr/>
        <w:tc>
          <w:tcPr>
            <w:tcW w:w="16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b/>
                <w:bCs/>
                <w:kern w:val="0"/>
                <w:lang w:bidi="ar-SA"/>
              </w:rPr>
            </w:pPr>
            <w:r>
              <w:rPr>
                <w:b/>
                <w:bCs/>
                <w:kern w:val="0"/>
                <w:lang w:bidi="ar-SA"/>
              </w:rPr>
              <w:t>16h20 - 16h45</w:t>
              <w:br/>
              <w:t>0 h 25</w:t>
            </w:r>
          </w:p>
        </w:tc>
        <w:tc>
          <w:tcPr>
            <w:tcW w:w="22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Clôture et bilan</w:t>
            </w:r>
          </w:p>
        </w:tc>
        <w:tc>
          <w:tcPr>
            <w:tcW w:w="315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Vérifier les acquis. Recueillir l'évaluation de la formation.</w:t>
              <w:br/>
              <w:t>[Bloom : évaluer]</w:t>
            </w:r>
          </w:p>
        </w:tc>
        <w:tc>
          <w:tcPr>
            <w:tcW w:w="2600"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Questions finales et contacts des formateurs, ressources partagées, évaluation à chaud.</w:t>
            </w:r>
          </w:p>
        </w:tc>
        <w:tc>
          <w:tcPr>
            <w:tcW w:w="2999"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sz w:val="18"/>
                <w:lang w:bidi="ar-SA"/>
              </w:rPr>
              <w:t>Reprise orale de l'auto-positionnement initial sur les mêmes compétences, tour de table, questionnaire de satisfaction et ressources complémentaires.</w:t>
            </w:r>
          </w:p>
        </w:tc>
        <w:tc>
          <w:tcPr>
            <w:tcW w:w="2891" w:type="dxa"/>
            <w:tcBorders>
              <w:top w:val="single" w:sz="6" w:space="0" w:color="C7D3E3"/>
              <w:start w:val="single" w:sz="6" w:space="0" w:color="C7D3E3"/>
              <w:bottom w:val="single" w:sz="6" w:space="0" w:color="C7D3E3"/>
              <w:end w:val="single" w:sz="6" w:space="0" w:color="C7D3E3"/>
            </w:tcBorders>
            <w:shd w:fill="F7F8FC" w:val="clear"/>
          </w:tcPr>
          <w:p>
            <w:pPr>
              <w:pStyle w:val="Normal"/>
              <w:keepNext w:val="false"/>
              <w:widowControl/>
              <w:spacing w:lineRule="auto" w:line="240" w:before="0" w:after="0"/>
              <w:jc w:val="start"/>
              <w:rPr>
                <w:kern w:val="0"/>
                <w:lang w:bidi="ar-SA"/>
              </w:rPr>
            </w:pPr>
            <w:r>
              <w:rPr>
                <w:kern w:val="0"/>
                <w:lang w:bidi="ar-SA"/>
              </w:rPr>
              <w:t>Support officiel, slide 133 ; questionnaire d’évaluation et ressources partagées.</w:t>
            </w:r>
          </w:p>
        </w:tc>
      </w:tr>
    </w:tbl>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648" w:right="648" w:gutter="0" w:header="259" w:top="1555" w:footer="360" w:bottom="792"/>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arianne">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844595415"/>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0</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844595415"/>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0</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pPr>
    <w:r>
      <w:rPr>
        <w:rFonts w:eastAsia="Marianne" w:cs="Marianne"/>
        <w:color w:val="000000"/>
        <w:sz w:val="21"/>
        <w:szCs w:val="21"/>
        <w:lang w:val="fr-FR" w:eastAsia="fr-FR"/>
      </w:rPr>
      <w:t>P-F06_déroulé_pédagogique-v6</w:t>
    </w:r>
    <w:r>
      <mc:AlternateContent>
        <mc:Choice Requires="wps">
          <w:drawing>
            <wp:anchor distT="0" distB="0" distL="0" distR="0" simplePos="0" relativeHeight="5" behindDoc="0" locked="0" layoutInCell="0" allowOverlap="1">
              <wp:simplePos x="0" y="0"/>
              <wp:positionH relativeFrom="margin">
                <wp:align>center</wp:align>
              </wp:positionH>
              <wp:positionV relativeFrom="paragraph">
                <wp:posOffset>635</wp:posOffset>
              </wp:positionV>
              <wp:extent cx="67310" cy="153670"/>
              <wp:effectExtent l="0" t="0" r="0" b="0"/>
              <wp:wrapNone/>
              <wp:docPr id="3" name="Frame2"/>
              <a:graphic xmlns:a="http://schemas.openxmlformats.org/drawingml/2006/main">
                <a:graphicData uri="http://schemas.microsoft.com/office/word/2010/wordprocessingShape">
                  <wps:wsp>
                    <wps:cNvSpPr txBox="1"/>
                    <wps:spPr>
                      <a:xfrm>
                        <a:off x="0" y="0"/>
                        <a:ext cx="67310" cy="153670"/>
                      </a:xfrm>
                      <a:prstGeom prst="rect"/>
                      <a:solidFill>
                        <a:srgbClr val="FFFFFF">
                          <a:alpha val="0"/>
                        </a:srgbClr>
                      </a:solidFill>
                    </wps:spPr>
                    <wps:txbx>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3</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5.3pt;height:12.1pt;mso-wrap-distance-left:0pt;mso-wrap-distance-right:0pt;mso-wrap-distance-top:0pt;mso-wrap-distance-bottom:0pt;margin-top:0.05pt;mso-position-vertical-relative:text;margin-left:385.9pt;mso-position-horizontal:center;mso-position-horizontal-relative:margin">
              <v:fill opacity="0f"/>
              <v:textbox inset="0in,0in,0in,0in">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3</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rPr/>
    </w:pPr>
    <w:r>
      <w:rPr>
        <w:rFonts w:eastAsia="Marianne" w:cs="Marianne"/>
        <w:color w:val="000000"/>
        <w:sz w:val="21"/>
        <w:szCs w:val="21"/>
        <w:lang w:val="fr-FR" w:eastAsia="fr-FR"/>
      </w:rPr>
      <w:t>P-F06_déroulé_pédagogique-v6</w:t>
    </w:r>
    <w:r>
      <mc:AlternateContent>
        <mc:Choice Requires="wps">
          <w:drawing>
            <wp:anchor distT="0" distB="0" distL="0" distR="0" simplePos="0" relativeHeight="3" behindDoc="0" locked="0" layoutInCell="0" allowOverlap="1">
              <wp:simplePos x="0" y="0"/>
              <wp:positionH relativeFrom="margin">
                <wp:align>center</wp:align>
              </wp:positionH>
              <wp:positionV relativeFrom="paragraph">
                <wp:posOffset>635</wp:posOffset>
              </wp:positionV>
              <wp:extent cx="67310" cy="153670"/>
              <wp:effectExtent l="0" t="0" r="0" b="0"/>
              <wp:wrapNone/>
              <wp:docPr id="4" name="Frame5"/>
              <a:graphic xmlns:a="http://schemas.openxmlformats.org/drawingml/2006/main">
                <a:graphicData uri="http://schemas.microsoft.com/office/word/2010/wordprocessingShape">
                  <wps:wsp>
                    <wps:cNvSpPr txBox="1"/>
                    <wps:spPr>
                      <a:xfrm>
                        <a:off x="0" y="0"/>
                        <a:ext cx="67310" cy="153670"/>
                      </a:xfrm>
                      <a:prstGeom prst="rect"/>
                      <a:solidFill>
                        <a:srgbClr val="FFFFFF">
                          <a:alpha val="0"/>
                        </a:srgbClr>
                      </a:solidFill>
                    </wps:spPr>
                    <wps:txbx>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1</w:t>
                              </w:r>
                              <w:r>
                                <w:rPr>
                                  <w:rStyle w:val="PageNumber"/>
                                  <w:rFonts w:eastAsia="Marianne" w:cs="Marianne"/>
                                  <w:sz w:val="21"/>
                                  <w:szCs w:val="21"/>
                                  <w:lang w:val="fr-FR" w:eastAsia="fr-FR"/>
                                </w:rPr>
                                <w:fldChar w:fldCharType="end"/>
                              </w:r>
                            </w:p>
                          </w:sdtContent>
                        </w:sdt>
                      </w:txbxContent>
                    </wps:txbx>
                    <wps:bodyPr anchor="t" lIns="0" tIns="0" rIns="0" bIns="0">
                      <a:spAutoFit/>
                    </wps:bodyPr>
                  </wps:wsp>
                </a:graphicData>
              </a:graphic>
            </wp:anchor>
          </w:drawing>
        </mc:Choice>
        <mc:Fallback>
          <w:pict>
            <v:rect fillcolor="#FFFFFF" style="position:absolute;rotation:-0;width:5.3pt;height:12.1pt;mso-wrap-distance-left:0pt;mso-wrap-distance-right:0pt;mso-wrap-distance-top:0pt;mso-wrap-distance-bottom:0pt;margin-top:0.05pt;mso-position-vertical-relative:text;margin-left:385.9pt;mso-position-horizontal:center;mso-position-horizontal-relative:margin">
              <v:fill opacity="0f"/>
              <v:textbox inset="0in,0in,0in,0in">
                <w:txbxContent>
                  <w:sdt>
                    <w:sdtPr>
                      <w:id w:val="551435120"/>
                      <w:docPartObj>
                        <w:docPartGallery w:val="Page Numbers (Bottom of Page)"/>
                        <w:docPartUnique w:val="true"/>
                      </w:docPartObj>
                    </w:sdtPr>
                    <w:sdtContent>
                      <w:p>
                        <w:pPr>
                          <w:pStyle w:val="Footer"/>
                          <w:pBdr/>
                          <w:rPr>
                            <w:rStyle w:val="PageNumber"/>
                            <w:rFonts w:ascii="Marianne" w:hAnsi="Marianne" w:eastAsia="Marianne" w:cs="Marianne"/>
                            <w:sz w:val="21"/>
                            <w:szCs w:val="21"/>
                            <w:lang w:val="fr-FR" w:eastAsia="fr-FR"/>
                          </w:rPr>
                        </w:pPr>
                        <w:r>
                          <w:rPr>
                            <w:rStyle w:val="PageNumber"/>
                            <w:rFonts w:eastAsia="Marianne" w:cs="Marianne"/>
                            <w:sz w:val="21"/>
                            <w:szCs w:val="21"/>
                            <w:lang w:val="fr-FR" w:eastAsia="fr-FR"/>
                          </w:rPr>
                          <w:fldChar w:fldCharType="begin"/>
                        </w:r>
                        <w:r>
                          <w:rPr>
                            <w:rStyle w:val="PageNumber"/>
                            <w:rFonts w:eastAsia="Marianne" w:cs="Marianne"/>
                            <w:sz w:val="21"/>
                            <w:szCs w:val="21"/>
                            <w:lang w:val="fr-FR" w:eastAsia="fr-FR"/>
                          </w:rPr>
                          <w:instrText xml:space="preserve"> PAGE </w:instrText>
                        </w:r>
                        <w:r>
                          <w:rPr>
                            <w:rStyle w:val="PageNumber"/>
                            <w:rFonts w:eastAsia="Marianne" w:cs="Marianne"/>
                            <w:sz w:val="21"/>
                            <w:szCs w:val="21"/>
                            <w:lang w:val="fr-FR" w:eastAsia="fr-FR"/>
                          </w:rPr>
                          <w:fldChar w:fldCharType="separate"/>
                        </w:r>
                        <w:r>
                          <w:rPr>
                            <w:rStyle w:val="PageNumber"/>
                            <w:rFonts w:eastAsia="Marianne" w:cs="Marianne"/>
                            <w:sz w:val="21"/>
                            <w:szCs w:val="21"/>
                            <w:lang w:val="fr-FR" w:eastAsia="fr-FR"/>
                          </w:rPr>
                          <w:t>1</w:t>
                        </w:r>
                        <w:r>
                          <w:rPr>
                            <w:rStyle w:val="PageNumber"/>
                            <w:rFonts w:eastAsia="Marianne" w:cs="Marianne"/>
                            <w:sz w:val="21"/>
                            <w:szCs w:val="21"/>
                            <w:lang w:val="fr-FR" w:eastAsia="fr-FR"/>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114300" distR="114300" simplePos="0" relativeHeight="2" behindDoc="1" locked="0" layoutInCell="0" allowOverlap="0">
          <wp:simplePos x="0" y="0"/>
          <wp:positionH relativeFrom="margin">
            <wp:posOffset>0</wp:posOffset>
          </wp:positionH>
          <wp:positionV relativeFrom="page">
            <wp:posOffset>144145</wp:posOffset>
          </wp:positionV>
          <wp:extent cx="2011680" cy="688340"/>
          <wp:effectExtent l="0" t="0" r="0" b="0"/>
          <wp:wrapSquare wrapText="bothSides"/>
          <wp:docPr id="1" name="Logo IGPDE" descr="Logo de l’IGP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IGPDE" descr="Logo de l’IGPDE"/>
                  <pic:cNvPicPr>
                    <a:picLocks noChangeAspect="1" noChangeArrowheads="1"/>
                  </pic:cNvPicPr>
                </pic:nvPicPr>
                <pic:blipFill>
                  <a:blip r:embed="rId1"/>
                  <a:stretch>
                    <a:fillRect/>
                  </a:stretch>
                </pic:blipFill>
                <pic:spPr bwMode="auto">
                  <a:xfrm>
                    <a:off x="0" y="0"/>
                    <a:ext cx="2011680" cy="688340"/>
                  </a:xfrm>
                  <a:prstGeom prst="rect">
                    <a:avLst/>
                  </a:prstGeom>
                  <a:noFill/>
                </pic:spPr>
              </pic:pic>
            </a:graphicData>
          </a:graphic>
        </wp:anchor>
      </w:drawing>
    </w:r>
  </w:p>
</w:hdr>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arianne" w:hAnsi="Marianne" w:eastAsia="Marianne" w:cs="Marianne"/>
        <w:sz w:val="21"/>
        <w:szCs w:val="21"/>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40" w:before="0" w:after="0"/>
      <w:jc w:val="start"/>
    </w:pPr>
    <w:rPr>
      <w:rFonts w:ascii="Marianne" w:hAnsi="Marianne" w:eastAsia="Marianne" w:cs="Marianne"/>
      <w:color w:val="auto"/>
      <w:kern w:val="0"/>
      <w:sz w:val="18"/>
      <w:szCs w:val="21"/>
      <w:lang w:val="fr-FR" w:eastAsia="fr-FR" w:bidi="ar-SA"/>
    </w:rPr>
  </w:style>
  <w:style w:type="paragraph" w:styleId="Heading1">
    <w:name w:val="heading 1"/>
    <w:basedOn w:val="Normal"/>
    <w:next w:val="Normal"/>
    <w:link w:val="Titre1Car"/>
    <w:uiPriority w:val="9"/>
    <w:qFormat/>
    <w:pPr>
      <w:keepNext w:val="true"/>
      <w:keepLines/>
      <w:spacing w:before="120" w:after="120"/>
      <w:jc w:val="center"/>
      <w:outlineLvl w:val="0"/>
    </w:pPr>
    <w:rPr>
      <w:rFonts w:ascii="Marianne" w:hAnsi="Marianne" w:eastAsia="Marianne" w:cs="Marianne"/>
      <w:b/>
      <w:bCs/>
      <w:color w:themeColor="background1" w:val="FFFFFF"/>
      <w:sz w:val="18"/>
      <w:szCs w:val="21"/>
      <w:lang w:val="fr-FR" w:eastAsia="fr-FR"/>
    </w:rPr>
  </w:style>
  <w:style w:type="paragraph" w:styleId="Heading2">
    <w:name w:val="heading 2"/>
    <w:basedOn w:val="Normal"/>
    <w:next w:val="Normal"/>
    <w:link w:val="Titre2Car"/>
    <w:uiPriority w:val="9"/>
    <w:unhideWhenUsed/>
    <w:qFormat/>
    <w:pPr>
      <w:keepNext w:val="true"/>
      <w:keepLines/>
      <w:spacing w:before="40" w:after="0"/>
      <w:outlineLvl w:val="1"/>
    </w:pPr>
    <w:rPr>
      <w:rFonts w:ascii="Marianne" w:hAnsi="Marianne" w:eastAsia="Marianne" w:cs="Marianne"/>
      <w:b/>
      <w:color w:val="000091"/>
      <w:sz w:val="18"/>
      <w:szCs w:val="21"/>
      <w:lang w:val="fr-FR" w:eastAsia="fr-FR"/>
    </w:rPr>
  </w:style>
  <w:style w:type="character" w:styleId="DefaultParagraphFont" w:default="1">
    <w:name w:val="Default Paragraph Font"/>
    <w:uiPriority w:val="1"/>
    <w:semiHidden/>
    <w:unhideWhenUsed/>
    <w:qFormat/>
    <w:rPr>
      <w:rFonts w:ascii="Marianne" w:hAnsi="Marianne" w:eastAsia="Marianne" w:cs="Marianne"/>
      <w:sz w:val="21"/>
      <w:szCs w:val="21"/>
      <w:lang w:val="fr-FR" w:eastAsia="fr-FR"/>
    </w:rPr>
  </w:style>
  <w:style w:type="character" w:styleId="TextedebullesCar" w:customStyle="1">
    <w:name w:val="Texte de bulles Car"/>
    <w:basedOn w:val="DefaultParagraphFont"/>
    <w:link w:val="BalloonText"/>
    <w:uiPriority w:val="99"/>
    <w:semiHidden/>
    <w:qFormat/>
    <w:rPr>
      <w:rFonts w:ascii="Marianne" w:hAnsi="Marianne" w:eastAsia="Marianne" w:cs="Marianne"/>
      <w:sz w:val="21"/>
      <w:szCs w:val="21"/>
      <w:lang w:val="fr-FR" w:eastAsia="fr-FR"/>
    </w:rPr>
  </w:style>
  <w:style w:type="character" w:styleId="En-tteCar" w:customStyle="1">
    <w:name w:val="En-tête Car"/>
    <w:basedOn w:val="DefaultParagraphFont"/>
    <w:link w:val="Header"/>
    <w:uiPriority w:val="99"/>
    <w:qFormat/>
    <w:rPr>
      <w:rFonts w:ascii="Marianne" w:hAnsi="Marianne" w:eastAsia="Marianne" w:cs="Marianne"/>
      <w:sz w:val="21"/>
      <w:szCs w:val="21"/>
      <w:lang w:val="fr-FR" w:eastAsia="fr-FR"/>
    </w:rPr>
  </w:style>
  <w:style w:type="character" w:styleId="PieddepageCar" w:customStyle="1">
    <w:name w:val="Pied de page Car"/>
    <w:basedOn w:val="DefaultParagraphFont"/>
    <w:link w:val="Footer"/>
    <w:uiPriority w:val="99"/>
    <w:qFormat/>
    <w:rPr>
      <w:rFonts w:ascii="Marianne" w:hAnsi="Marianne" w:eastAsia="Marianne" w:cs="Marianne"/>
      <w:sz w:val="21"/>
      <w:szCs w:val="21"/>
      <w:lang w:val="fr-FR" w:eastAsia="fr-FR"/>
    </w:rPr>
  </w:style>
  <w:style w:type="character" w:styleId="notion-enable-hover" w:customStyle="1">
    <w:name w:val="notion-enable-hover"/>
    <w:basedOn w:val="DefaultParagraphFont"/>
    <w:qFormat/>
    <w:rPr>
      <w:rFonts w:ascii="Marianne" w:hAnsi="Marianne" w:eastAsia="Marianne" w:cs="Marianne"/>
      <w:sz w:val="21"/>
      <w:szCs w:val="21"/>
      <w:lang w:val="fr-FR" w:eastAsia="fr-FR"/>
    </w:rPr>
  </w:style>
  <w:style w:type="character" w:styleId="Titre1Car" w:customStyle="1">
    <w:name w:val="Titre 1 Car"/>
    <w:basedOn w:val="DefaultParagraphFont"/>
    <w:link w:val="Heading1"/>
    <w:uiPriority w:val="9"/>
    <w:qFormat/>
    <w:rPr>
      <w:rFonts w:ascii="Marianne" w:hAnsi="Marianne" w:eastAsia="Marianne" w:cs="Marianne"/>
      <w:color w:themeColor="background1" w:val="FFFFFF"/>
      <w:sz w:val="21"/>
      <w:szCs w:val="21"/>
      <w:lang w:val="fr-FR" w:eastAsia="fr-FR"/>
    </w:rPr>
  </w:style>
  <w:style w:type="character" w:styleId="Titre2Car" w:customStyle="1">
    <w:name w:val="Titre 2 Car"/>
    <w:basedOn w:val="DefaultParagraphFont"/>
    <w:link w:val="Heading2"/>
    <w:uiPriority w:val="9"/>
    <w:qFormat/>
    <w:rPr>
      <w:rFonts w:ascii="Marianne" w:hAnsi="Marianne" w:eastAsia="Marianne" w:cs="Marianne"/>
      <w:b/>
      <w:color w:val="000091"/>
      <w:sz w:val="21"/>
      <w:szCs w:val="21"/>
      <w:lang w:val="fr-FR" w:eastAsia="fr-FR"/>
    </w:rPr>
  </w:style>
  <w:style w:type="character" w:styleId="bold" w:customStyle="1">
    <w:name w:val="bold"/>
    <w:basedOn w:val="DefaultParagraphFont"/>
    <w:qFormat/>
    <w:rPr>
      <w:rFonts w:ascii="Marianne" w:hAnsi="Marianne" w:eastAsia="Marianne" w:cs="Marianne"/>
      <w:sz w:val="21"/>
      <w:szCs w:val="21"/>
      <w:lang w:val="fr-FR" w:eastAsia="fr-FR"/>
    </w:rPr>
  </w:style>
  <w:style w:type="character" w:styleId="ng-star-inserted" w:customStyle="1">
    <w:name w:val="ng-star-inserted"/>
    <w:basedOn w:val="DefaultParagraphFont"/>
    <w:qFormat/>
    <w:rPr>
      <w:rFonts w:ascii="Marianne" w:hAnsi="Marianne" w:eastAsia="Marianne" w:cs="Marianne"/>
      <w:sz w:val="21"/>
      <w:szCs w:val="21"/>
      <w:lang w:val="fr-FR" w:eastAsia="fr-FR"/>
    </w:rPr>
  </w:style>
  <w:style w:type="character" w:styleId="Strong">
    <w:name w:val="Strong"/>
    <w:basedOn w:val="DefaultParagraphFont"/>
    <w:uiPriority w:val="22"/>
    <w:qFormat/>
    <w:rPr>
      <w:rFonts w:ascii="Marianne" w:hAnsi="Marianne" w:eastAsia="Marianne" w:cs="Marianne"/>
      <w:b/>
      <w:bCs/>
      <w:sz w:val="21"/>
      <w:szCs w:val="21"/>
      <w:lang w:val="fr-FR" w:eastAsia="fr-FR"/>
    </w:rPr>
  </w:style>
  <w:style w:type="character" w:styleId="TitreCar" w:customStyle="1">
    <w:name w:val="Titre Car"/>
    <w:basedOn w:val="DefaultParagraphFont"/>
    <w:link w:val="Title"/>
    <w:uiPriority w:val="10"/>
    <w:qFormat/>
    <w:rPr>
      <w:rFonts w:ascii="Marianne" w:hAnsi="Marianne" w:eastAsia="Marianne" w:cs="Marianne"/>
      <w:spacing w:val="-10"/>
      <w:kern w:val="2"/>
      <w:sz w:val="21"/>
      <w:szCs w:val="21"/>
      <w:lang w:val="fr-FR" w:eastAsia="fr-FR"/>
    </w:rPr>
  </w:style>
  <w:style w:type="character" w:styleId="CommentReference">
    <w:name w:val="annotation reference"/>
    <w:basedOn w:val="DefaultParagraphFont"/>
    <w:uiPriority w:val="99"/>
    <w:semiHidden/>
    <w:unhideWhenUsed/>
    <w:qFormat/>
    <w:rPr>
      <w:rFonts w:ascii="Marianne" w:hAnsi="Marianne" w:eastAsia="Marianne" w:cs="Marianne"/>
      <w:sz w:val="21"/>
      <w:szCs w:val="21"/>
      <w:lang w:val="fr-FR" w:eastAsia="fr-FR"/>
    </w:rPr>
  </w:style>
  <w:style w:type="character" w:styleId="CommentaireCar" w:customStyle="1">
    <w:name w:val="Commentaire Car"/>
    <w:basedOn w:val="DefaultParagraphFont"/>
    <w:link w:val="CommentText"/>
    <w:uiPriority w:val="99"/>
    <w:semiHidden/>
    <w:qFormat/>
    <w:rPr>
      <w:rFonts w:ascii="Marianne" w:hAnsi="Marianne" w:eastAsia="Marianne" w:cs="Marianne"/>
      <w:sz w:val="21"/>
      <w:szCs w:val="21"/>
      <w:lang w:val="fr-FR" w:eastAsia="fr-FR"/>
    </w:rPr>
  </w:style>
  <w:style w:type="character" w:styleId="ObjetducommentaireCar" w:customStyle="1">
    <w:name w:val="Objet du commentaire Car"/>
    <w:basedOn w:val="CommentaireCar"/>
    <w:link w:val="annotationsubject"/>
    <w:uiPriority w:val="99"/>
    <w:semiHidden/>
    <w:qFormat/>
    <w:rPr>
      <w:rFonts w:ascii="Marianne" w:hAnsi="Marianne" w:eastAsia="Marianne" w:cs="Marianne"/>
      <w:b/>
      <w:bCs/>
      <w:sz w:val="21"/>
      <w:szCs w:val="21"/>
      <w:lang w:val="fr-FR" w:eastAsia="fr-FR"/>
    </w:rPr>
  </w:style>
  <w:style w:type="character" w:styleId="PageNumber">
    <w:name w:val="page number"/>
    <w:basedOn w:val="DefaultParagraphFont"/>
    <w:uiPriority w:val="99"/>
    <w:semiHidden/>
    <w:unhideWhenUsed/>
    <w:rsid w:val="00114a00"/>
    <w:rPr>
      <w:rFonts w:ascii="Marianne" w:hAnsi="Marianne" w:eastAsia="Marianne" w:cs="Marianne"/>
      <w:sz w:val="21"/>
      <w:szCs w:val="21"/>
      <w:lang w:val="fr-FR" w:eastAsia="fr-F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Web">
    <w:name w:val="Normal (Web)"/>
    <w:basedOn w:val="Normal"/>
    <w:uiPriority w:val="99"/>
    <w:semiHidden/>
    <w:unhideWhenUsed/>
    <w:qFormat/>
    <w:pPr>
      <w:spacing w:beforeAutospacing="1" w:afterAutospacing="1"/>
    </w:pPr>
    <w:rPr>
      <w:rFonts w:ascii="Marianne" w:hAnsi="Marianne" w:eastAsia="Marianne" w:cs="Marianne"/>
      <w:sz w:val="21"/>
      <w:szCs w:val="21"/>
      <w:lang w:val="fr-FR" w:eastAsia="fr-FR"/>
    </w:rPr>
  </w:style>
  <w:style w:type="paragraph" w:styleId="BalloonText">
    <w:name w:val="Balloon Text"/>
    <w:basedOn w:val="Normal"/>
    <w:link w:val="TextedebullesCar"/>
    <w:uiPriority w:val="99"/>
    <w:semiHidden/>
    <w:unhideWhenUsed/>
    <w:qFormat/>
    <w:pPr/>
    <w:rPr>
      <w:rFonts w:ascii="Marianne" w:hAnsi="Marianne" w:eastAsia="Marianne" w:cs="Marianne"/>
      <w:sz w:val="21"/>
      <w:szCs w:val="21"/>
      <w:lang w:val="fr-FR" w:eastAsia="fr-FR"/>
    </w:rPr>
  </w:style>
  <w:style w:type="paragraph" w:styleId="HeaderandFooter">
    <w:name w:val="Header and Footer"/>
    <w:basedOn w:val="Normal"/>
    <w:qFormat/>
    <w:pPr/>
    <w:rPr/>
  </w:style>
  <w:style w:type="paragraph" w:styleId="Header">
    <w:name w:val="header"/>
    <w:basedOn w:val="Normal"/>
    <w:link w:val="En-tteCar"/>
    <w:uiPriority w:val="99"/>
    <w:unhideWhenUsed/>
    <w:pPr>
      <w:tabs>
        <w:tab w:val="clear" w:pos="708"/>
        <w:tab w:val="center" w:pos="4536" w:leader="none"/>
        <w:tab w:val="right" w:pos="9072" w:leader="none"/>
      </w:tabs>
    </w:pPr>
    <w:rPr>
      <w:rFonts w:ascii="Marianne" w:hAnsi="Marianne" w:eastAsia="Marianne" w:cs="Marianne"/>
      <w:sz w:val="21"/>
      <w:szCs w:val="21"/>
      <w:lang w:val="fr-FR" w:eastAsia="fr-FR"/>
    </w:rPr>
  </w:style>
  <w:style w:type="paragraph" w:styleId="Footer">
    <w:name w:val="footer"/>
    <w:basedOn w:val="Normal"/>
    <w:link w:val="PieddepageCar"/>
    <w:uiPriority w:val="99"/>
    <w:unhideWhenUsed/>
    <w:pPr>
      <w:tabs>
        <w:tab w:val="clear" w:pos="708"/>
        <w:tab w:val="center" w:pos="4536" w:leader="none"/>
        <w:tab w:val="right" w:pos="9072" w:leader="none"/>
      </w:tabs>
    </w:pPr>
    <w:rPr>
      <w:rFonts w:ascii="Marianne" w:hAnsi="Marianne" w:eastAsia="Marianne" w:cs="Marianne"/>
      <w:sz w:val="21"/>
      <w:szCs w:val="21"/>
      <w:lang w:val="fr-FR" w:eastAsia="fr-FR"/>
    </w:rPr>
  </w:style>
  <w:style w:type="paragraph" w:styleId="ListParagraph">
    <w:name w:val="List Paragraph"/>
    <w:basedOn w:val="Normal"/>
    <w:uiPriority w:val="1"/>
    <w:qFormat/>
    <w:pPr>
      <w:spacing w:before="0" w:after="0"/>
      <w:ind w:start="720"/>
      <w:contextualSpacing/>
    </w:pPr>
    <w:rPr>
      <w:rFonts w:ascii="Marianne" w:hAnsi="Marianne" w:eastAsia="Marianne" w:cs="Marianne"/>
      <w:sz w:val="21"/>
      <w:szCs w:val="21"/>
      <w:lang w:val="fr-FR" w:eastAsia="fr-FR"/>
    </w:rPr>
  </w:style>
  <w:style w:type="paragraph" w:styleId="whitespace-pre-wrap" w:customStyle="1">
    <w:name w:val="whitespace-pre-wrap"/>
    <w:basedOn w:val="Normal"/>
    <w:qFormat/>
    <w:pPr>
      <w:spacing w:beforeAutospacing="1" w:afterAutospacing="1"/>
    </w:pPr>
    <w:rPr>
      <w:rFonts w:ascii="Marianne" w:hAnsi="Marianne" w:eastAsia="Marianne" w:cs="Marianne"/>
      <w:b/>
      <w:bCs/>
      <w:sz w:val="21"/>
      <w:szCs w:val="21"/>
      <w:lang w:val="fr-FR" w:eastAsia="fr-FR"/>
    </w:rPr>
  </w:style>
  <w:style w:type="paragraph" w:styleId="ql-indent-1" w:customStyle="1">
    <w:name w:val="ql-indent-1"/>
    <w:basedOn w:val="Normal"/>
    <w:qFormat/>
    <w:pPr>
      <w:spacing w:beforeAutospacing="1" w:afterAutospacing="1"/>
    </w:pPr>
    <w:rPr>
      <w:rFonts w:ascii="Marianne" w:hAnsi="Marianne" w:eastAsia="Marianne" w:cs="Marianne"/>
      <w:b/>
      <w:bCs/>
      <w:sz w:val="21"/>
      <w:szCs w:val="21"/>
      <w:lang w:val="fr-FR" w:eastAsia="fr-FR"/>
    </w:rPr>
  </w:style>
  <w:style w:type="paragraph" w:styleId="Title">
    <w:name w:val="Title"/>
    <w:basedOn w:val="Normal"/>
    <w:next w:val="Normal"/>
    <w:link w:val="TitreCar"/>
    <w:uiPriority w:val="10"/>
    <w:qFormat/>
    <w:pPr>
      <w:spacing w:before="0" w:after="0"/>
      <w:contextualSpacing/>
    </w:pPr>
    <w:rPr>
      <w:rFonts w:ascii="Marianne" w:hAnsi="Marianne" w:eastAsia="Marianne" w:cs="Marianne"/>
      <w:spacing w:val="-10"/>
      <w:kern w:val="2"/>
      <w:sz w:val="21"/>
      <w:szCs w:val="21"/>
      <w:lang w:val="fr-FR" w:eastAsia="fr-FR"/>
    </w:rPr>
  </w:style>
  <w:style w:type="paragraph" w:styleId="Revision">
    <w:name w:val="Revision"/>
    <w:uiPriority w:val="99"/>
    <w:semiHidden/>
    <w:qFormat/>
    <w:pPr>
      <w:widowControl/>
      <w:bidi w:val="0"/>
      <w:spacing w:lineRule="auto" w:line="240" w:before="0" w:after="0"/>
      <w:jc w:val="start"/>
    </w:pPr>
    <w:rPr>
      <w:rFonts w:ascii="Marianne" w:hAnsi="Marianne" w:eastAsia="Marianne" w:cs="Marianne"/>
      <w:color w:val="auto"/>
      <w:kern w:val="0"/>
      <w:sz w:val="21"/>
      <w:szCs w:val="21"/>
      <w:lang w:val="fr-FR" w:eastAsia="fr-FR" w:bidi="ar-SA"/>
    </w:rPr>
  </w:style>
  <w:style w:type="paragraph" w:styleId="CommentText">
    <w:name w:val="annotation text"/>
    <w:basedOn w:val="Normal"/>
    <w:link w:val="CommentaireCar"/>
    <w:uiPriority w:val="99"/>
    <w:semiHidden/>
    <w:unhideWhenUsed/>
    <w:pPr/>
    <w:rPr>
      <w:rFonts w:ascii="Marianne" w:hAnsi="Marianne" w:eastAsia="Marianne" w:cs="Marianne"/>
      <w:sz w:val="21"/>
      <w:szCs w:val="21"/>
      <w:lang w:val="fr-FR" w:eastAsia="fr-FR"/>
    </w:rPr>
  </w:style>
  <w:style w:type="paragraph" w:styleId="annotationsubject">
    <w:name w:val="annotation subject"/>
    <w:basedOn w:val="CommentText"/>
    <w:next w:val="CommentText"/>
    <w:link w:val="ObjetducommentaireCar"/>
    <w:uiPriority w:val="99"/>
    <w:semiHidden/>
    <w:unhideWhenUsed/>
    <w:qFormat/>
    <w:pPr/>
    <w:rPr>
      <w:rFonts w:ascii="Marianne" w:hAnsi="Marianne" w:eastAsia="Marianne" w:cs="Marianne"/>
      <w:b/>
      <w:bCs/>
      <w:sz w:val="21"/>
      <w:szCs w:val="21"/>
      <w:lang w:val="fr-FR" w:eastAsia="fr-F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rPr>
      <w:sz w:val="21"/>
      <w:szCs w:val="21"/>
      <w:lang w:val="fr-FR" w:eastAsia="fr-FR"/>
    </w:rPr>
    <w:tblPr>
      <w:tblCellMar>
        <w:top w:w="0" w:type="dxa"/>
        <w:left w:w="108" w:type="dxa"/>
        <w:bottom w:w="0" w:type="dxa"/>
        <w:right w:w="108" w:type="dxa"/>
      </w:tblCellMar>
    </w:tblPr>
  </w:style>
  <w:style w:type="table" w:styleId="TableauGrille5Fonc-Accentuation5">
    <w:name w:val="Grid Table 5 Dark Accent 5"/>
    <w:basedOn w:val="TableauNormal"/>
    <w:uiPriority w:val="50"/>
    <w:pPr>
      <w:spacing w:after="0" w:line="240" w:lineRule="auto"/>
    </w:pPr>
    <w:rPr>
      <w:sz w:val="21"/>
      <w:szCs w:val="21"/>
      <w:lang w:val="fr-FR" w:eastAsia="fr-FR"/>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sz w:val="21"/>
        <w:szCs w:val="21"/>
        <w:lang w:val="fr-FR" w:eastAsia="fr-FR"/>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sz w:val="21"/>
        <w:szCs w:val="21"/>
        <w:lang w:val="fr-FR" w:eastAsia="fr-FR"/>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sz w:val="21"/>
        <w:szCs w:val="21"/>
        <w:lang w:val="fr-FR" w:eastAsia="fr-FR"/>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sz w:val="21"/>
        <w:szCs w:val="21"/>
        <w:lang w:val="fr-FR" w:eastAsia="fr-FR"/>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lledutableau">
    <w:name w:val="Table Grid"/>
    <w:basedOn w:val="TableauNormal"/>
    <w:uiPriority w:val="39"/>
    <w:pPr>
      <w:spacing w:after="0" w:line="240" w:lineRule="auto"/>
    </w:pPr>
    <w:rPr>
      <w:sz w:val="21"/>
      <w:szCs w:val="21"/>
      <w:lang w:val="fr-FR" w:eastAsia="fr-F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Accentuation1">
    <w:name w:val="Grid Table 1 Light Accent 1"/>
    <w:basedOn w:val="TableauNormal"/>
    <w:uiPriority w:val="46"/>
    <w:pPr>
      <w:spacing w:after="0" w:line="240" w:lineRule="auto"/>
    </w:pPr>
    <w:rPr>
      <w:sz w:val="21"/>
      <w:szCs w:val="21"/>
      <w:lang w:val="fr-FR" w:eastAsia="fr-FR"/>
    </w:r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sz w:val="21"/>
        <w:szCs w:val="21"/>
        <w:lang w:val="fr-FR" w:eastAsia="fr-FR"/>
      </w:rPr>
      <w:tblPr/>
      <w:tcPr>
        <w:tcBorders>
          <w:bottom w:val="single" w:color="9CC2E5" w:themeColor="accent1" w:sz="12" w:space="0"/>
        </w:tcBorders>
      </w:tcPr>
    </w:tblStylePr>
    <w:tblStylePr w:type="lastRow">
      <w:rPr>
        <w:b/>
        <w:bCs/>
        <w:sz w:val="21"/>
        <w:szCs w:val="21"/>
        <w:lang w:val="fr-FR" w:eastAsia="fr-FR"/>
      </w:rPr>
      <w:tblPr/>
      <w:tcPr>
        <w:tcBorders>
          <w:top w:val="double" w:color="9CC2E5" w:themeColor="accent1" w:sz="2" w:space="0"/>
        </w:tcBorders>
      </w:tcPr>
    </w:tblStylePr>
    <w:tblStylePr w:type="firstCol">
      <w:rPr>
        <w:b/>
        <w:bCs/>
        <w:sz w:val="21"/>
        <w:szCs w:val="21"/>
        <w:lang w:val="fr-FR" w:eastAsia="fr-FR"/>
      </w:rPr>
      <w:tblPr/>
    </w:tblStylePr>
    <w:tblStylePr w:type="lastCol">
      <w:rPr>
        <w:b/>
        <w:bCs/>
        <w:sz w:val="21"/>
        <w:szCs w:val="21"/>
        <w:lang w:val="fr-FR" w:eastAsia="fr-FR"/>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656A-C0A1-F943-8BBE-323E451C3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LibreOffice/26.2.4.2$MacOSX_AARCH64 LibreOffice_project/0229ac93fcf0d7cbc6376066c6f35021cef002dc</Application>
  <AppVersion>15.0000</AppVersion>
  <Pages>8</Pages>
  <Words>1493</Words>
  <Characters>8213</Characters>
  <CharactersWithSpaces>9687</CharactersWithSpaces>
  <Paragraphs>19</Paragraphs>
  <Company>Secrétariat Général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2024-10-02T10:15:00Z</dcterms:created>
  <dc:creator>IGPDE</dc:creator>
  <dc:description>Document actualisé pour la session du 9 octobre 2026, à partir de la fiche catalogue V2, du programme V2, du support officiel 102846 et des cinq présentations projetées.</dc:description>
  <cp:keywords>accessibilité numérique bureautique web réseaux sociaux IGPDE 102846</cp:keywords>
  <dc:language>fr-FR</dc:language>
  <cp:lastModifiedBy>Alexandra Guiderdoni</cp:lastModifiedBy>
  <dcterms:modified xsi:type="dcterms:W3CDTF">2024-11-25T18:37:00Z</dcterms:modified>
  <cp:revision>23</cp:revision>
  <dc:subject>Formation IGPDE 102846</dc:subject>
  <dc:title>Déroulé pédagogique - L'accessibilité numérique pour la bureautique et le web</dc:title>
</cp:coreProperties>
</file>

<file path=docProps/custom.xml><?xml version="1.0" encoding="utf-8"?>
<Properties xmlns="http://schemas.openxmlformats.org/officeDocument/2006/custom-properties" xmlns:vt="http://schemas.openxmlformats.org/officeDocument/2006/docPropsVTypes"/>
</file>