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pBdr>
          <w:top w:val="single" w:sz="6" w:space="4" w:color="000091"/>
          <w:left w:val="single" w:sz="6" w:space="4" w:color="000091"/>
          <w:bottom w:val="single" w:sz="6" w:space="4" w:color="000091"/>
          <w:right w:val="single" w:sz="6" w:space="4" w:color="000091"/>
        </w:pBdr>
        <w:shd w:val="clear" w:color="auto" w:fill="000091"/>
        <w:spacing w:lineRule="auto" w:line="240" w:before="0" w:after="120"/>
        <w:jc w:val="center"/>
        <w:rPr/>
      </w:pPr>
      <w:r>
        <w:rPr>
          <w:rFonts w:eastAsia="Marianne" w:cs="Marianne"/>
          <w:b/>
          <w:color w:val="FFFFFF"/>
          <w:sz w:val="18"/>
          <w:szCs w:val="21"/>
          <w:lang w:val="fr-FR" w:eastAsia="fr-FR"/>
        </w:rPr>
        <w:t>Déroulé pédagogique : L'accessibilité numérique pour la bureautique et le web</w:t>
      </w:r>
    </w:p>
    <w:tbl>
      <w:tblPr>
        <w:tblStyle w:val="Grilledutableau"/>
        <w:tblW w:w="15540" w:type="dxa"/>
        <w:jc w:val="center"/>
        <w:tblInd w:w="0" w:type="dxa"/>
        <w:tblLayout w:type="fixed"/>
        <w:tblCellMar>
          <w:top w:w="90" w:type="dxa"/>
          <w:start w:w="120" w:type="dxa"/>
          <w:bottom w:w="90" w:type="dxa"/>
          <w:end w:w="120" w:type="dxa"/>
        </w:tblCellMar>
        <w:tblLook w:noHBand="0" w:lastColumn="0" w:firstColumn="1" w:lastRow="0" w:firstRow="1" w:noVBand="1" w:val="04a0"/>
      </w:tblPr>
      <w:tblGrid>
        <w:gridCol w:w="1700"/>
        <w:gridCol w:w="6200"/>
        <w:gridCol w:w="1700"/>
        <w:gridCol w:w="5940"/>
      </w:tblGrid>
      <w:tr>
        <w:trPr>
          <w:tblHeader w:val="true"/>
        </w:trPr>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Action n°</w:t>
            </w:r>
          </w:p>
        </w:tc>
        <w:tc>
          <w:tcPr>
            <w:tcW w:w="62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102846</w:t>
            </w:r>
          </w:p>
        </w:tc>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Durée</w:t>
            </w:r>
          </w:p>
        </w:tc>
        <w:tc>
          <w:tcPr>
            <w:tcW w:w="594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1 jour</w:t>
            </w:r>
          </w:p>
        </w:tc>
      </w:tr>
      <w:tr>
        <w:trPr/>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Libellé</w:t>
            </w:r>
          </w:p>
        </w:tc>
        <w:tc>
          <w:tcPr>
            <w:tcW w:w="62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L'accessibilité numérique pour la bureautique et le web</w:t>
            </w:r>
          </w:p>
        </w:tc>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Niveau</w:t>
            </w:r>
          </w:p>
        </w:tc>
        <w:tc>
          <w:tcPr>
            <w:tcW w:w="594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Initiation</w:t>
            </w:r>
          </w:p>
        </w:tc>
      </w:tr>
      <w:tr>
        <w:trPr/>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Public</w:t>
            </w:r>
          </w:p>
        </w:tc>
        <w:tc>
          <w:tcPr>
            <w:tcW w:w="62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Communicants de toutes les directions des ministères et producteurs de contenu numérique.</w:t>
            </w:r>
          </w:p>
        </w:tc>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Prérequis</w:t>
            </w:r>
          </w:p>
        </w:tc>
        <w:tc>
          <w:tcPr>
            <w:tcW w:w="594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Aucun prérequis obligatoire. Parcours Mentor « L'essentiel de l'accessibilité de la communication de l'État » recommandé.</w:t>
            </w:r>
          </w:p>
        </w:tc>
      </w:tr>
      <w:tr>
        <w:trPr/>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Objectifs de la formation</w:t>
            </w:r>
          </w:p>
        </w:tc>
        <w:tc>
          <w:tcPr>
            <w:tcW w:w="62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Expliquer les enjeux de l'accessibilité numérique et son cadre légal dans le contexte de la communication. Identifier et évaluer les principales erreurs d'accessibilité. Rendre des contenus numériques accessibles.</w:t>
            </w:r>
          </w:p>
        </w:tc>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Compétences ciblées</w:t>
            </w:r>
          </w:p>
        </w:tc>
        <w:tc>
          <w:tcPr>
            <w:tcW w:w="594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Repérer des écarts d'accessibilité observables dans un document ou une page web et distinguer un contrôle rapide d'un audit complet de conformité. Utiliser les outils d'évaluation adaptés aux exercices.</w:t>
            </w:r>
          </w:p>
          <w:p>
            <w:pPr>
              <w:pStyle w:val="Normal"/>
              <w:widowControl/>
              <w:spacing w:before="0" w:after="0"/>
              <w:jc w:val="start"/>
              <w:rPr>
                <w:kern w:val="0"/>
                <w:lang w:bidi="ar-SA"/>
              </w:rPr>
            </w:pPr>
            <w:r>
              <w:rPr>
                <w:kern w:val="0"/>
                <w:sz w:val="18"/>
                <w:lang w:bidi="ar-SA"/>
              </w:rPr>
              <w:t>Créer et adapter des contenus numériques pour garantir leur accessibilité pour divers supports.</w:t>
            </w:r>
          </w:p>
        </w:tc>
      </w:tr>
      <w:tr>
        <w:trPr/>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Organisation</w:t>
            </w:r>
          </w:p>
        </w:tc>
        <w:tc>
          <w:tcPr>
            <w:tcW w:w="62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Formation en présentiel, salle équipée d’ordinateurs. Alternance d’apports, démonstrations, exercices guidés et ateliers en binômes.</w:t>
            </w:r>
          </w:p>
        </w:tc>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Supports principaux</w:t>
            </w:r>
          </w:p>
        </w:tc>
        <w:tc>
          <w:tcPr>
            <w:tcW w:w="594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lang w:bidi="ar-SA"/>
              </w:rPr>
              <w:t>Support officiel PPTX et cinq présentations projetées, documents Word du TP, site d’exercice Easy Checks, grille XLSX et exemples de publications sociales.</w:t>
            </w:r>
          </w:p>
        </w:tc>
      </w:tr>
    </w:tbl>
    <w:p>
      <w:pPr>
        <w:pStyle w:val="Heading2"/>
        <w:pBdr>
          <w:top w:val="single" w:sz="6" w:space="4" w:color="000091"/>
          <w:left w:val="single" w:sz="6" w:space="4" w:color="000091"/>
          <w:bottom w:val="single" w:sz="6" w:space="4" w:color="000091"/>
          <w:right w:val="single" w:sz="6" w:space="4" w:color="000091"/>
        </w:pBdr>
        <w:shd w:val="clear" w:color="auto" w:fill="000091"/>
        <w:spacing w:lineRule="auto" w:line="240" w:before="180" w:after="120"/>
        <w:jc w:val="center"/>
        <w:rPr/>
      </w:pPr>
      <w:r>
        <w:rPr>
          <w:rFonts w:eastAsia="Marianne" w:cs="Marianne"/>
          <w:b/>
          <w:color w:val="FFFFFF"/>
          <w:sz w:val="18"/>
          <w:szCs w:val="21"/>
          <w:lang w:val="fr-FR" w:eastAsia="fr-FR"/>
        </w:rPr>
        <w:t>JOUR 1 - MATIN</w:t>
      </w:r>
    </w:p>
    <w:tbl>
      <w:tblPr>
        <w:tblStyle w:val="TableauGrille1Clair-Accentuation1"/>
        <w:tblW w:w="15540" w:type="dxa"/>
        <w:jc w:val="center"/>
        <w:tblInd w:w="0" w:type="dxa"/>
        <w:tblLayout w:type="fixed"/>
        <w:tblCellMar>
          <w:top w:w="80" w:type="dxa"/>
          <w:start w:w="90" w:type="dxa"/>
          <w:bottom w:w="80" w:type="dxa"/>
          <w:end w:w="90" w:type="dxa"/>
        </w:tblCellMar>
        <w:tblLook w:noHBand="0" w:lastColumn="0" w:firstColumn="1" w:lastRow="0" w:firstRow="1" w:noVBand="1" w:val="04a0"/>
      </w:tblPr>
      <w:tblGrid>
        <w:gridCol w:w="1650"/>
        <w:gridCol w:w="2250"/>
        <w:gridCol w:w="3150"/>
        <w:gridCol w:w="2600"/>
        <w:gridCol w:w="2999"/>
        <w:gridCol w:w="2891"/>
      </w:tblGrid>
      <w:tr>
        <w:trPr>
          <w:tblHeader w:val="true"/>
        </w:trPr>
        <w:tc>
          <w:tcPr>
            <w:tcW w:w="1650"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Durée / heure</w:t>
            </w:r>
          </w:p>
        </w:tc>
        <w:tc>
          <w:tcPr>
            <w:tcW w:w="2250"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Séquences</w:t>
            </w:r>
          </w:p>
        </w:tc>
        <w:tc>
          <w:tcPr>
            <w:tcW w:w="3150"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Objectifs pédagogiques</w:t>
            </w:r>
          </w:p>
        </w:tc>
        <w:tc>
          <w:tcPr>
            <w:tcW w:w="2600"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Thèmes clés</w:t>
            </w:r>
          </w:p>
        </w:tc>
        <w:tc>
          <w:tcPr>
            <w:tcW w:w="2999"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Modalités pédagogiques</w:t>
            </w:r>
          </w:p>
        </w:tc>
        <w:tc>
          <w:tcPr>
            <w:tcW w:w="2891"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Outils, supports, matériels</w:t>
            </w:r>
          </w:p>
        </w:tc>
      </w:tr>
      <w:tr>
        <w:trPr/>
        <w:tc>
          <w:tcPr>
            <w:tcW w:w="16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b/>
                <w:bCs/>
                <w:kern w:val="0"/>
                <w:lang w:bidi="ar-SA"/>
              </w:rPr>
            </w:pPr>
            <w:r>
              <w:rPr>
                <w:b/>
                <w:bCs/>
                <w:kern w:val="0"/>
                <w:sz w:val="18"/>
                <w:lang w:bidi="ar-SA"/>
              </w:rPr>
              <w:t>9h15 - 9h35</w:t>
              <w:br/>
              <w:t>20 minutes</w:t>
            </w:r>
          </w:p>
        </w:tc>
        <w:tc>
          <w:tcPr>
            <w:tcW w:w="22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Accueil, cadrage et constitution des binômes</w:t>
            </w:r>
          </w:p>
        </w:tc>
        <w:tc>
          <w:tcPr>
            <w:tcW w:w="31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Présenter le cadre de la journée, recueillir les attentes et installer une dynamique de participation.</w:t>
              <w:br/>
              <w:t>[Bloom : se souvenir]</w:t>
            </w:r>
          </w:p>
        </w:tc>
        <w:tc>
          <w:tcPr>
            <w:tcW w:w="26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Objectifs de la formation, programme, présentation des intervenants, tour de table court, regroupement par binômes, icebreaker : ensemble faisons tomber les préjugés (6 idées reçues vrai/faux).</w:t>
            </w:r>
          </w:p>
        </w:tc>
        <w:tc>
          <w:tcPr>
            <w:tcW w:w="2999"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Accueil, tour de table court, auto-positionnement oral initial, regroupement par binômes, clarification des règles de travail et activité brise-glace interactive (idées reçues vrai/faux).</w:t>
            </w:r>
          </w:p>
        </w:tc>
        <w:tc>
          <w:tcPr>
            <w:tcW w:w="2891"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Support officiel, slides 1 à 14 ; projection : 00-introduction-et-idees-recues.pptx, slides 1 à 14 ; salle équipée d'ordinateurs.</w:t>
            </w:r>
          </w:p>
        </w:tc>
      </w:tr>
      <w:tr>
        <w:trPr/>
        <w:tc>
          <w:tcPr>
            <w:tcW w:w="16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b/>
                <w:bCs/>
                <w:kern w:val="0"/>
                <w:lang w:bidi="ar-SA"/>
              </w:rPr>
            </w:pPr>
            <w:r>
              <w:rPr>
                <w:b/>
                <w:bCs/>
                <w:kern w:val="0"/>
                <w:sz w:val="18"/>
                <w:lang w:bidi="ar-SA"/>
              </w:rPr>
              <w:t>9h35 - 10h20</w:t>
              <w:br/>
              <w:t>45 minutes</w:t>
            </w:r>
          </w:p>
        </w:tc>
        <w:tc>
          <w:tcPr>
            <w:tcW w:w="22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Module 1 - Comprendre l'accessibilité numérique et son cadre légal</w:t>
            </w:r>
          </w:p>
        </w:tc>
        <w:tc>
          <w:tcPr>
            <w:tcW w:w="31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Expliquer les enjeux de l'accessibilité numérique. Définir les 4 principes WCAG. Identifier les 4 familles de déficiences et leurs situations de handicap. Expliquer le cadre légal (RGAA, directive européenne, déclaration d'accessibilité). Formuler les règles transversales de communication accessible (FALC, contraste, QR).</w:t>
              <w:br/>
              <w:t>[Bloom : comprendre, analyser]</w:t>
            </w:r>
          </w:p>
        </w:tc>
        <w:tc>
          <w:tcPr>
            <w:tcW w:w="260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Définition et principes WCAG. 6 personas et matrice déficiences/besoins. Fiches solutions par type de déficience. Handicap, validisme, temporalité. Cadre légal de 2005 à aujourd'hui, cadre européen. RGAA 13 thèmes et 3 niveaux. Simulateur Obligally, déclaration d'accessibilité, obligations légales. Pourquoi agir, accessibiliser sa communication. Outils OS, règles transversales, FALC et langage clair, méthode FALC en 5 étapes, exemple DIA, accessibilité dès la conception.</w:t>
            </w:r>
          </w:p>
        </w:tc>
        <w:tc>
          <w:tcPr>
            <w:tcW w:w="2999"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Exposé interactif, présentations de personas, lecture commentée d'une déclaration d'accessibilité, échanges guidés, démonstration du simulateur Obligally.</w:t>
            </w:r>
          </w:p>
        </w:tc>
        <w:tc>
          <w:tcPr>
            <w:tcW w:w="2891"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Support officiel, slides 15 à 53 ; projection : 01-accessibilite-numerique-et-cadre-legal.pptx, slides 1 à 39 ; exemples de déclarations d'accessibilité, simulateur Obligally en ligne et guide Accessibiliser sa communication.</w:t>
            </w:r>
          </w:p>
        </w:tc>
      </w:tr>
      <w:tr>
        <w:trPr/>
        <w:tc>
          <w:tcPr>
            <w:tcW w:w="16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b/>
                <w:bCs/>
                <w:kern w:val="0"/>
                <w:lang w:bidi="ar-SA"/>
              </w:rPr>
            </w:pPr>
            <w:r>
              <w:rPr>
                <w:b/>
                <w:bCs/>
                <w:kern w:val="0"/>
                <w:sz w:val="18"/>
                <w:lang w:bidi="ar-SA"/>
              </w:rPr>
              <w:t>10h20 - 10h30</w:t>
              <w:br/>
              <w:t>10 minutes</w:t>
            </w:r>
          </w:p>
        </w:tc>
        <w:tc>
          <w:tcPr>
            <w:tcW w:w="22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sz w:val="18"/>
                <w:lang w:bidi="ar-SA"/>
              </w:rPr>
              <w:t>Pause du matin</w:t>
            </w:r>
          </w:p>
        </w:tc>
        <w:tc>
          <w:tcPr>
            <w:tcW w:w="31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60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999"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891"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r>
      <w:tr>
        <w:trPr/>
        <w:tc>
          <w:tcPr>
            <w:tcW w:w="16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b/>
                <w:bCs/>
                <w:kern w:val="0"/>
                <w:lang w:bidi="ar-SA"/>
              </w:rPr>
            </w:pPr>
            <w:r>
              <w:rPr>
                <w:b/>
                <w:bCs/>
                <w:kern w:val="0"/>
                <w:sz w:val="18"/>
                <w:lang w:bidi="ar-SA"/>
              </w:rPr>
              <w:t>10h30 - 12h00</w:t>
              <w:br/>
              <w:t>1 h 30</w:t>
            </w:r>
          </w:p>
        </w:tc>
        <w:tc>
          <w:tcPr>
            <w:tcW w:w="22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Module 2 - Créer des documents bureautiques accessibles</w:t>
            </w:r>
          </w:p>
        </w:tc>
        <w:tc>
          <w:tcPr>
            <w:tcW w:w="31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lang w:bidi="ar-SA"/>
              </w:rPr>
              <w:t>Identifier et corriger les obstacles d’accessibilité dans le guide Word de Sami. Appliquer une méthode en cinq étapes, vérifier le DOCX, exporter un PDF balisé et contrôler le résultat.</w:t>
              <w:br/>
              <w:t>[Bloom : appliquer, évaluer]</w:t>
            </w:r>
          </w:p>
        </w:tc>
        <w:tc>
          <w:tcPr>
            <w:tcW w:w="260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lang w:bidi="ar-SA"/>
              </w:rPr>
              <w:t>Démonstration lecteur d’écran et quiz diagnostic A/B. TP guidé en cinq étapes : structurer et naviguer ; contenus et liens ; couleurs, graphiques et tableaux ; langues et lisibilité ; finaliser, vérifier, exporter et contrôler. Checklist progressive, vérificateur Word, export PDF balisé, contrôle avec PAC ou Acrobat Pro et vérification humaine.</w:t>
            </w:r>
          </w:p>
        </w:tc>
        <w:tc>
          <w:tcPr>
            <w:tcW w:w="2999"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lang w:bidi="ar-SA"/>
              </w:rPr>
              <w:t>Démonstration lecteur d’écran, quiz diagnostic, TP guidé sur le document de Sami, travail en binômes, checklist renseignée après chaque étape, synthèses techniques au fil de l’eau et remise finale du corrigé de référence.</w:t>
            </w:r>
          </w:p>
        </w:tc>
        <w:tc>
          <w:tcPr>
            <w:tcW w:w="2891"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lang w:bidi="ar-SA"/>
              </w:rPr>
              <w:t>Support officiel, slides 54 à 79 ; projection : 02-documents-bureautiques-accessibles-tp.pptx, slides 1 à 26 ; un DOCX de départ au choix, checklist DOCX ou papier, cartes WCAG, mémos Word et Writer, vérificateur Word, PAC ou Acrobat Pro et casque audio.</w:t>
            </w:r>
          </w:p>
        </w:tc>
      </w:tr>
      <w:tr>
        <w:trPr/>
        <w:tc>
          <w:tcPr>
            <w:tcW w:w="16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b/>
                <w:bCs/>
                <w:kern w:val="0"/>
                <w:lang w:bidi="ar-SA"/>
              </w:rPr>
            </w:pPr>
            <w:r>
              <w:rPr>
                <w:b/>
                <w:bCs/>
                <w:kern w:val="0"/>
                <w:sz w:val="18"/>
                <w:lang w:bidi="ar-SA"/>
              </w:rPr>
              <w:t>12h00 - 12h15</w:t>
              <w:br/>
              <w:t>15 minutes</w:t>
            </w:r>
          </w:p>
        </w:tc>
        <w:tc>
          <w:tcPr>
            <w:tcW w:w="22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Synthèse du matin</w:t>
            </w:r>
          </w:p>
        </w:tc>
        <w:tc>
          <w:tcPr>
            <w:tcW w:w="31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Consolider les réflexes immédiatement réutilisables avant de passer aux contrôles web.</w:t>
              <w:br/>
              <w:t>[Bloom : évaluer]</w:t>
            </w:r>
          </w:p>
        </w:tc>
        <w:tc>
          <w:tcPr>
            <w:tcW w:w="26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lang w:bidi="ar-SA"/>
              </w:rPr>
              <w:t>Acquis des parties I et II, chaîne de preuve, priorisation des premiers gestes et questions ouvertes.</w:t>
            </w:r>
          </w:p>
        </w:tc>
        <w:tc>
          <w:tcPr>
            <w:tcW w:w="2999"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lang w:bidi="ar-SA"/>
              </w:rPr>
              <w:t>Synthèse collective, questions finales et transition vers les contrôles web.</w:t>
            </w:r>
          </w:p>
        </w:tc>
        <w:tc>
          <w:tcPr>
            <w:tcW w:w="2891"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lang w:bidi="ar-SA"/>
              </w:rPr>
              <w:t>Support officiel, slide 80 ; projection : 02-documents-bureautiques-accessibles-tp.pptx, slide 27 ; checklist renseignée, DOCX corrigé et PDF contrôlé.</w:t>
            </w:r>
          </w:p>
        </w:tc>
      </w:tr>
      <w:tr>
        <w:trPr/>
        <w:tc>
          <w:tcPr>
            <w:tcW w:w="16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b/>
                <w:bCs/>
                <w:kern w:val="0"/>
                <w:lang w:bidi="ar-SA"/>
              </w:rPr>
            </w:pPr>
            <w:r>
              <w:rPr>
                <w:b/>
                <w:bCs/>
                <w:kern w:val="0"/>
                <w:sz w:val="18"/>
                <w:lang w:bidi="ar-SA"/>
              </w:rPr>
              <w:t>12h15 - 13h45</w:t>
              <w:br/>
              <w:t>1 h 30</w:t>
            </w:r>
          </w:p>
        </w:tc>
        <w:tc>
          <w:tcPr>
            <w:tcW w:w="22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sz w:val="18"/>
                <w:lang w:bidi="ar-SA"/>
              </w:rPr>
              <w:t>Pause déjeuner</w:t>
            </w:r>
          </w:p>
        </w:tc>
        <w:tc>
          <w:tcPr>
            <w:tcW w:w="31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60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999"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891"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r>
    </w:tbl>
    <w:p>
      <w:pPr>
        <w:pStyle w:val="Heading2"/>
        <w:pBdr>
          <w:top w:val="single" w:sz="6" w:space="4" w:color="000091"/>
          <w:left w:val="single" w:sz="6" w:space="4" w:color="000091"/>
          <w:bottom w:val="single" w:sz="6" w:space="4" w:color="000091"/>
          <w:right w:val="single" w:sz="6" w:space="4" w:color="000091"/>
        </w:pBdr>
        <w:shd w:val="clear" w:color="auto" w:fill="000091"/>
        <w:spacing w:lineRule="auto" w:line="240" w:before="180" w:after="120"/>
        <w:jc w:val="center"/>
        <w:rPr/>
      </w:pPr>
      <w:r>
        <w:rPr>
          <w:rFonts w:eastAsia="Marianne" w:cs="Marianne"/>
          <w:b/>
          <w:color w:val="FFFFFF"/>
          <w:sz w:val="18"/>
          <w:szCs w:val="21"/>
          <w:lang w:val="fr-FR" w:eastAsia="fr-FR"/>
        </w:rPr>
        <w:t>JOUR 1 - APRÈS-MIDI</w:t>
      </w:r>
    </w:p>
    <w:tbl>
      <w:tblPr>
        <w:tblStyle w:val="TableauGrille1Clair-Accentuation1"/>
        <w:tblW w:w="15540" w:type="dxa"/>
        <w:jc w:val="center"/>
        <w:tblInd w:w="0" w:type="dxa"/>
        <w:tblLayout w:type="fixed"/>
        <w:tblCellMar>
          <w:top w:w="80" w:type="dxa"/>
          <w:start w:w="90" w:type="dxa"/>
          <w:bottom w:w="80" w:type="dxa"/>
          <w:end w:w="90" w:type="dxa"/>
        </w:tblCellMar>
        <w:tblLook w:noHBand="0" w:lastColumn="0" w:firstColumn="1" w:lastRow="0" w:firstRow="1" w:noVBand="1" w:val="04a0"/>
      </w:tblPr>
      <w:tblGrid>
        <w:gridCol w:w="1650"/>
        <w:gridCol w:w="2250"/>
        <w:gridCol w:w="3150"/>
        <w:gridCol w:w="2600"/>
        <w:gridCol w:w="2999"/>
        <w:gridCol w:w="2891"/>
      </w:tblGrid>
      <w:tr>
        <w:trPr>
          <w:tblHeader w:val="true"/>
        </w:trPr>
        <w:tc>
          <w:tcPr>
            <w:tcW w:w="1650"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Durée / heure</w:t>
            </w:r>
          </w:p>
        </w:tc>
        <w:tc>
          <w:tcPr>
            <w:tcW w:w="2250"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Séquences</w:t>
            </w:r>
          </w:p>
        </w:tc>
        <w:tc>
          <w:tcPr>
            <w:tcW w:w="3150"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Objectifs pédagogiques</w:t>
            </w:r>
          </w:p>
        </w:tc>
        <w:tc>
          <w:tcPr>
            <w:tcW w:w="2600"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Thèmes clés</w:t>
            </w:r>
          </w:p>
        </w:tc>
        <w:tc>
          <w:tcPr>
            <w:tcW w:w="2999"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Modalités pédagogiques</w:t>
            </w:r>
          </w:p>
        </w:tc>
        <w:tc>
          <w:tcPr>
            <w:tcW w:w="2891"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Outils, supports, matériels</w:t>
            </w:r>
          </w:p>
        </w:tc>
      </w:tr>
      <w:tr>
        <w:trPr/>
        <w:tc>
          <w:tcPr>
            <w:tcW w:w="16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b/>
                <w:bCs/>
                <w:kern w:val="0"/>
                <w:lang w:bidi="ar-SA"/>
              </w:rPr>
            </w:pPr>
            <w:r>
              <w:rPr>
                <w:b/>
                <w:bCs/>
                <w:kern w:val="0"/>
                <w:sz w:val="18"/>
                <w:lang w:bidi="ar-SA"/>
              </w:rPr>
              <w:t>13h45 - 15h05</w:t>
              <w:br/>
              <w:t>1 h 20</w:t>
            </w:r>
          </w:p>
        </w:tc>
        <w:tc>
          <w:tcPr>
            <w:tcW w:w="22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Module 3 - Pratiquer les évaluations rapides d'accessibilité web (Easy Checks)</w:t>
            </w:r>
          </w:p>
        </w:tc>
        <w:tc>
          <w:tcPr>
            <w:tcW w:w="31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Appliquer 13 points de contrôle rapides sur un site web. Repérer une non-conformité observable et formaliser un constat exploitable dans une grille d'audit.</w:t>
              <w:br/>
              <w:t>[Bloom : appliquer, analyser, évaluer]</w:t>
            </w:r>
          </w:p>
        </w:tc>
        <w:tc>
          <w:tcPr>
            <w:tcW w:w="26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WebAIM Million 2026 et erreurs fréquentes. 13 checks : texte alternatif (types, rédaction, exemples), titre de page, hiérarchie de titres, contraste (principe et outils), lien d'évitement, navigation clavier (5 touches, 3 signaux), langue, zoom 200 %, sous-titres (principe et auto), transcriptions, audiodescription, bonus médias (règle des 2 accès, audio-description). Étiquettes de formulaire (placeholder, groupes, champs obligatoires). Grille de remontée. Bonus liens et PDF. Mission audit en binôme 30 min.</w:t>
            </w:r>
          </w:p>
        </w:tc>
        <w:tc>
          <w:tcPr>
            <w:tcW w:w="2999"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Démonstrations successives, manipulations guidées, audit en binôme sur le site d'exercice Easy Checks et restitution orale.</w:t>
            </w:r>
          </w:p>
        </w:tc>
        <w:tc>
          <w:tcPr>
            <w:tcW w:w="2891"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lang w:bidi="ar-SA"/>
              </w:rPr>
              <w:t>Support officiel, slides 81 à 111 ; projection : 03-web-accessible-tp.pptx, slides 1 à 30 ; site d’exercice Easy Checks, grille XLSX, navigateur Firefox ou Edge, outils de contraste et extensions HeadingsMap et Web Developer.</w:t>
            </w:r>
          </w:p>
        </w:tc>
      </w:tr>
      <w:tr>
        <w:trPr/>
        <w:tc>
          <w:tcPr>
            <w:tcW w:w="16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b/>
                <w:bCs/>
                <w:kern w:val="0"/>
                <w:lang w:bidi="ar-SA"/>
              </w:rPr>
            </w:pPr>
            <w:r>
              <w:rPr>
                <w:b/>
                <w:bCs/>
                <w:kern w:val="0"/>
                <w:sz w:val="18"/>
                <w:lang w:bidi="ar-SA"/>
              </w:rPr>
              <w:t>15h05 - 15h20</w:t>
              <w:br/>
              <w:t>15 minutes</w:t>
            </w:r>
          </w:p>
        </w:tc>
        <w:tc>
          <w:tcPr>
            <w:tcW w:w="22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sz w:val="18"/>
                <w:lang w:bidi="ar-SA"/>
              </w:rPr>
              <w:t>Pause de l'après-midi</w:t>
            </w:r>
          </w:p>
        </w:tc>
        <w:tc>
          <w:tcPr>
            <w:tcW w:w="31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60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999"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891"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r>
      <w:tr>
        <w:trPr/>
        <w:tc>
          <w:tcPr>
            <w:tcW w:w="16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b/>
                <w:bCs/>
                <w:kern w:val="0"/>
                <w:lang w:bidi="ar-SA"/>
              </w:rPr>
            </w:pPr>
            <w:r>
              <w:rPr>
                <w:b/>
                <w:bCs/>
                <w:kern w:val="0"/>
                <w:sz w:val="18"/>
                <w:lang w:bidi="ar-SA"/>
              </w:rPr>
              <w:t>15h20 - 16h20</w:t>
              <w:br/>
              <w:t>60 minutes</w:t>
            </w:r>
          </w:p>
        </w:tc>
        <w:tc>
          <w:tcPr>
            <w:tcW w:w="22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Module 4 - Améliorer l'accessibilité numérique des publications sur les réseaux sociaux</w:t>
            </w:r>
          </w:p>
        </w:tc>
        <w:tc>
          <w:tcPr>
            <w:tcW w:w="31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Identifier les obstacles propres aux réseaux sociaux. Adapter une publication pour la rendre accessible (textes alternatifs, émojis, hashtags, caractères Unicode). Appliquer une checklist de publication.</w:t>
              <w:br/>
              <w:t>[Bloom : appliquer, créer]</w:t>
            </w:r>
          </w:p>
        </w:tc>
        <w:tc>
          <w:tcPr>
            <w:tcW w:w="26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Enjeux de l'accessibilité sur les réseaux. Analyse d'un tweet OMS (quiz, révélation, corrigé). Démonstration NVDA. 4 réflexes. Texte alternatif (pourquoi, comment rédiger, où sur chaque plateforme). Émojis (3 règles, avant/après). Hashtags CamelCase. Caractères Unicode et faux gras. Communication inclusive (représentations, cohérence). Langage inclusif. Exercice checklist en binôme. Checklist 3 volets (anticiper, rédiger, publier).</w:t>
            </w:r>
          </w:p>
        </w:tc>
        <w:tc>
          <w:tcPr>
            <w:tcW w:w="2999"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Analyse d'exemples, démonstration lecteur d'écran NVDA, exercice en binôme et correction collective.</w:t>
            </w:r>
          </w:p>
        </w:tc>
        <w:tc>
          <w:tcPr>
            <w:tcW w:w="2891"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lang w:bidi="ar-SA"/>
              </w:rPr>
              <w:t>Support officiel, slides 112 à 132 ; projection : 04-reseaux-sociaux-accessibles.pptx, slides 1 à 55 ; exemples de publications et checklist réseaux sociaux en trois volets.</w:t>
            </w:r>
          </w:p>
        </w:tc>
      </w:tr>
      <w:tr>
        <w:trPr/>
        <w:tc>
          <w:tcPr>
            <w:tcW w:w="16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b/>
                <w:bCs/>
                <w:kern w:val="0"/>
                <w:lang w:bidi="ar-SA"/>
              </w:rPr>
            </w:pPr>
            <w:r>
              <w:rPr>
                <w:b/>
                <w:bCs/>
                <w:kern w:val="0"/>
                <w:lang w:bidi="ar-SA"/>
              </w:rPr>
              <w:t>16h20 - 16h45</w:t>
              <w:br/>
              <w:t>0 h 25</w:t>
            </w:r>
          </w:p>
        </w:tc>
        <w:tc>
          <w:tcPr>
            <w:tcW w:w="22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Clôture et bilan</w:t>
            </w:r>
          </w:p>
        </w:tc>
        <w:tc>
          <w:tcPr>
            <w:tcW w:w="31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Vérifier les acquis. Recueillir l'évaluation de la formation.</w:t>
              <w:br/>
              <w:t>[Bloom : évaluer]</w:t>
            </w:r>
          </w:p>
        </w:tc>
        <w:tc>
          <w:tcPr>
            <w:tcW w:w="260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Questions finales et contacts des formateurs, ressources partagées, évaluation à chaud.</w:t>
            </w:r>
          </w:p>
        </w:tc>
        <w:tc>
          <w:tcPr>
            <w:tcW w:w="2999"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Reprise orale de l'auto-positionnement initial sur les mêmes compétences, tour de table, questionnaire de satisfaction et ressources complémentaires.</w:t>
            </w:r>
          </w:p>
        </w:tc>
        <w:tc>
          <w:tcPr>
            <w:tcW w:w="2891"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lang w:bidi="ar-SA"/>
              </w:rPr>
              <w:t>Support officiel, slide 133 ; questionnaire d’évaluation et ressources partagées.</w:t>
            </w:r>
          </w:p>
        </w:tc>
      </w:tr>
    </w:tbl>
    <w:sectPr>
      <w:headerReference w:type="even" r:id="rId2"/>
      <w:headerReference w:type="default" r:id="rId3"/>
      <w:headerReference w:type="first" r:id="rId4"/>
      <w:footerReference w:type="even" r:id="rId5"/>
      <w:footerReference w:type="default" r:id="rId6"/>
      <w:footerReference w:type="first" r:id="rId7"/>
      <w:type w:val="nextPage"/>
      <w:pgSz w:orient="landscape" w:w="16838" w:h="11906"/>
      <w:pgMar w:left="648" w:right="648" w:gutter="0" w:header="259" w:top="1555" w:footer="360" w:bottom="792"/>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arianne">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0" behindDoc="0" locked="0" layoutInCell="1" allowOverlap="1">
              <wp:simplePos x="0" y="0"/>
              <wp:positionH relativeFrom="margin">
                <wp:align>center</wp:align>
              </wp:positionH>
              <wp:positionV relativeFrom="paragraph">
                <wp:posOffset>635</wp:posOffset>
              </wp:positionV>
              <wp:extent cx="14605" cy="14605"/>
              <wp:effectExtent l="0" t="0" r="0" b="0"/>
              <wp:wrapNone/>
              <wp:docPr id="2"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844595415"/>
                            <w:docPartObj>
                              <w:docPartGallery w:val="Page Numbers (Bottom of Page)"/>
                              <w:docPartUnique w:val="true"/>
                            </w:docPartObj>
                          </w:sdtPr>
                          <w:sdtContent>
                            <w:p>
                              <w:pPr>
                                <w:pStyle w:val="Footer"/>
                                <w:pBdr/>
                                <w:rPr>
                                  <w:rStyle w:val="PageNumber"/>
                                  <w:rFonts w:ascii="Marianne" w:hAnsi="Marianne" w:eastAsia="Marianne" w:cs="Marianne"/>
                                  <w:sz w:val="21"/>
                                  <w:szCs w:val="21"/>
                                  <w:lang w:val="fr-FR" w:eastAsia="fr-FR"/>
                                </w:rPr>
                              </w:pPr>
                              <w:r>
                                <w:rPr>
                                  <w:rStyle w:val="PageNumber"/>
                                  <w:rFonts w:eastAsia="Marianne" w:cs="Marianne"/>
                                  <w:sz w:val="21"/>
                                  <w:szCs w:val="21"/>
                                  <w:lang w:val="fr-FR" w:eastAsia="fr-FR"/>
                                </w:rPr>
                                <w:fldChar w:fldCharType="begin"/>
                              </w:r>
                              <w:r>
                                <w:rPr>
                                  <w:rStyle w:val="PageNumber"/>
                                  <w:rFonts w:eastAsia="Marianne" w:cs="Marianne"/>
                                  <w:sz w:val="21"/>
                                  <w:szCs w:val="21"/>
                                  <w:lang w:val="fr-FR" w:eastAsia="fr-FR"/>
                                </w:rPr>
                                <w:instrText xml:space="preserve"> PAGE </w:instrText>
                              </w:r>
                              <w:r>
                                <w:rPr>
                                  <w:rStyle w:val="PageNumber"/>
                                  <w:rFonts w:eastAsia="Marianne" w:cs="Marianne"/>
                                  <w:sz w:val="21"/>
                                  <w:szCs w:val="21"/>
                                  <w:lang w:val="fr-FR" w:eastAsia="fr-FR"/>
                                </w:rPr>
                                <w:fldChar w:fldCharType="separate"/>
                              </w:r>
                              <w:r>
                                <w:rPr>
                                  <w:rStyle w:val="PageNumber"/>
                                  <w:rFonts w:eastAsia="Marianne" w:cs="Marianne"/>
                                  <w:sz w:val="21"/>
                                  <w:szCs w:val="21"/>
                                  <w:lang w:val="fr-FR" w:eastAsia="fr-FR"/>
                                </w:rPr>
                                <w:t>0</w:t>
                              </w:r>
                              <w:r>
                                <w:rPr>
                                  <w:rStyle w:val="PageNumber"/>
                                  <w:rFonts w:eastAsia="Marianne" w:cs="Marianne"/>
                                  <w:sz w:val="21"/>
                                  <w:szCs w:val="21"/>
                                  <w:lang w:val="fr-FR" w:eastAsia="fr-F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sdt>
                    <w:sdtPr>
                      <w:id w:val="844595415"/>
                      <w:docPartObj>
                        <w:docPartGallery w:val="Page Numbers (Bottom of Page)"/>
                        <w:docPartUnique w:val="true"/>
                      </w:docPartObj>
                    </w:sdtPr>
                    <w:sdtContent>
                      <w:p>
                        <w:pPr>
                          <w:pStyle w:val="Footer"/>
                          <w:pBdr/>
                          <w:rPr>
                            <w:rStyle w:val="PageNumber"/>
                            <w:rFonts w:ascii="Marianne" w:hAnsi="Marianne" w:eastAsia="Marianne" w:cs="Marianne"/>
                            <w:sz w:val="21"/>
                            <w:szCs w:val="21"/>
                            <w:lang w:val="fr-FR" w:eastAsia="fr-FR"/>
                          </w:rPr>
                        </w:pPr>
                        <w:r>
                          <w:rPr>
                            <w:rStyle w:val="PageNumber"/>
                            <w:rFonts w:eastAsia="Marianne" w:cs="Marianne"/>
                            <w:sz w:val="21"/>
                            <w:szCs w:val="21"/>
                            <w:lang w:val="fr-FR" w:eastAsia="fr-FR"/>
                          </w:rPr>
                          <w:fldChar w:fldCharType="begin"/>
                        </w:r>
                        <w:r>
                          <w:rPr>
                            <w:rStyle w:val="PageNumber"/>
                            <w:rFonts w:eastAsia="Marianne" w:cs="Marianne"/>
                            <w:sz w:val="21"/>
                            <w:szCs w:val="21"/>
                            <w:lang w:val="fr-FR" w:eastAsia="fr-FR"/>
                          </w:rPr>
                          <w:instrText xml:space="preserve"> PAGE </w:instrText>
                        </w:r>
                        <w:r>
                          <w:rPr>
                            <w:rStyle w:val="PageNumber"/>
                            <w:rFonts w:eastAsia="Marianne" w:cs="Marianne"/>
                            <w:sz w:val="21"/>
                            <w:szCs w:val="21"/>
                            <w:lang w:val="fr-FR" w:eastAsia="fr-FR"/>
                          </w:rPr>
                          <w:fldChar w:fldCharType="separate"/>
                        </w:r>
                        <w:r>
                          <w:rPr>
                            <w:rStyle w:val="PageNumber"/>
                            <w:rFonts w:eastAsia="Marianne" w:cs="Marianne"/>
                            <w:sz w:val="21"/>
                            <w:szCs w:val="21"/>
                            <w:lang w:val="fr-FR" w:eastAsia="fr-FR"/>
                          </w:rPr>
                          <w:t>0</w:t>
                        </w:r>
                        <w:r>
                          <w:rPr>
                            <w:rStyle w:val="PageNumber"/>
                            <w:rFonts w:eastAsia="Marianne" w:cs="Marianne"/>
                            <w:sz w:val="21"/>
                            <w:szCs w:val="21"/>
                            <w:lang w:val="fr-FR" w:eastAsia="fr-F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keepNext w:val="false"/>
      <w:spacing w:lineRule="auto" w:line="240" w:before="0" w:after="0"/>
      <w:rPr/>
    </w:pPr>
    <w:r>
      <w:rPr>
        <w:rFonts w:eastAsia="Marianne" w:cs="Marianne"/>
        <w:color w:val="000000"/>
        <w:sz w:val="21"/>
        <w:szCs w:val="21"/>
        <w:lang w:val="fr-FR" w:eastAsia="fr-FR"/>
      </w:rPr>
      <w:t>P-F06_déroulé_pédagogique-v6</w:t>
    </w:r>
    <w:r>
      <mc:AlternateContent>
        <mc:Choice Requires="wps">
          <w:drawing>
            <wp:anchor distT="0" distB="0" distL="0" distR="0" simplePos="0" relativeHeight="5" behindDoc="0" locked="0" layoutInCell="0" allowOverlap="1">
              <wp:simplePos x="0" y="0"/>
              <wp:positionH relativeFrom="margin">
                <wp:align>center</wp:align>
              </wp:positionH>
              <wp:positionV relativeFrom="paragraph">
                <wp:posOffset>635</wp:posOffset>
              </wp:positionV>
              <wp:extent cx="67310" cy="153670"/>
              <wp:effectExtent l="0" t="0" r="0" b="0"/>
              <wp:wrapNone/>
              <wp:docPr id="3" name="Frame2"/>
              <a:graphic xmlns:a="http://schemas.openxmlformats.org/drawingml/2006/main">
                <a:graphicData uri="http://schemas.microsoft.com/office/word/2010/wordprocessingShape">
                  <wps:wsp>
                    <wps:cNvSpPr txBox="1"/>
                    <wps:spPr>
                      <a:xfrm>
                        <a:off x="0" y="0"/>
                        <a:ext cx="67310" cy="153670"/>
                      </a:xfrm>
                      <a:prstGeom prst="rect"/>
                      <a:solidFill>
                        <a:srgbClr val="FFFFFF">
                          <a:alpha val="0"/>
                        </a:srgbClr>
                      </a:solidFill>
                    </wps:spPr>
                    <wps:txbx>
                      <w:txbxContent>
                        <w:sdt>
                          <w:sdtPr>
                            <w:id w:val="551435120"/>
                            <w:docPartObj>
                              <w:docPartGallery w:val="Page Numbers (Bottom of Page)"/>
                              <w:docPartUnique w:val="true"/>
                            </w:docPartObj>
                          </w:sdtPr>
                          <w:sdtContent>
                            <w:p>
                              <w:pPr>
                                <w:pStyle w:val="Footer"/>
                                <w:pBdr/>
                                <w:rPr>
                                  <w:rStyle w:val="PageNumber"/>
                                  <w:rFonts w:ascii="Marianne" w:hAnsi="Marianne" w:eastAsia="Marianne" w:cs="Marianne"/>
                                  <w:sz w:val="21"/>
                                  <w:szCs w:val="21"/>
                                  <w:lang w:val="fr-FR" w:eastAsia="fr-FR"/>
                                </w:rPr>
                              </w:pPr>
                              <w:r>
                                <w:rPr>
                                  <w:rStyle w:val="PageNumber"/>
                                  <w:rFonts w:eastAsia="Marianne" w:cs="Marianne"/>
                                  <w:sz w:val="21"/>
                                  <w:szCs w:val="21"/>
                                  <w:lang w:val="fr-FR" w:eastAsia="fr-FR"/>
                                </w:rPr>
                                <w:fldChar w:fldCharType="begin"/>
                              </w:r>
                              <w:r>
                                <w:rPr>
                                  <w:rStyle w:val="PageNumber"/>
                                  <w:rFonts w:eastAsia="Marianne" w:cs="Marianne"/>
                                  <w:sz w:val="21"/>
                                  <w:szCs w:val="21"/>
                                  <w:lang w:val="fr-FR" w:eastAsia="fr-FR"/>
                                </w:rPr>
                                <w:instrText xml:space="preserve"> PAGE </w:instrText>
                              </w:r>
                              <w:r>
                                <w:rPr>
                                  <w:rStyle w:val="PageNumber"/>
                                  <w:rFonts w:eastAsia="Marianne" w:cs="Marianne"/>
                                  <w:sz w:val="21"/>
                                  <w:szCs w:val="21"/>
                                  <w:lang w:val="fr-FR" w:eastAsia="fr-FR"/>
                                </w:rPr>
                                <w:fldChar w:fldCharType="separate"/>
                              </w:r>
                              <w:r>
                                <w:rPr>
                                  <w:rStyle w:val="PageNumber"/>
                                  <w:rFonts w:eastAsia="Marianne" w:cs="Marianne"/>
                                  <w:sz w:val="21"/>
                                  <w:szCs w:val="21"/>
                                  <w:lang w:val="fr-FR" w:eastAsia="fr-FR"/>
                                </w:rPr>
                                <w:t>3</w:t>
                              </w:r>
                              <w:r>
                                <w:rPr>
                                  <w:rStyle w:val="PageNumber"/>
                                  <w:rFonts w:eastAsia="Marianne" w:cs="Marianne"/>
                                  <w:sz w:val="21"/>
                                  <w:szCs w:val="21"/>
                                  <w:lang w:val="fr-FR" w:eastAsia="fr-FR"/>
                                </w:rPr>
                                <w:fldChar w:fldCharType="end"/>
                              </w:r>
                            </w:p>
                          </w:sdtContent>
                        </w:sdt>
                      </w:txbxContent>
                    </wps:txbx>
                    <wps:bodyPr anchor="t" lIns="0" tIns="0" rIns="0" bIns="0">
                      <a:spAutoFit/>
                    </wps:bodyPr>
                  </wps:wsp>
                </a:graphicData>
              </a:graphic>
            </wp:anchor>
          </w:drawing>
        </mc:Choice>
        <mc:Fallback>
          <w:pict>
            <v:rect fillcolor="#FFFFFF" style="position:absolute;rotation:-0;width:5.3pt;height:12.1pt;mso-wrap-distance-left:0pt;mso-wrap-distance-right:0pt;mso-wrap-distance-top:0pt;mso-wrap-distance-bottom:0pt;margin-top:0.05pt;mso-position-vertical-relative:text;margin-left:385.9pt;mso-position-horizontal:center;mso-position-horizontal-relative:margin">
              <v:fill opacity="0f"/>
              <v:textbox inset="0in,0in,0in,0in">
                <w:txbxContent>
                  <w:sdt>
                    <w:sdtPr>
                      <w:id w:val="551435120"/>
                      <w:docPartObj>
                        <w:docPartGallery w:val="Page Numbers (Bottom of Page)"/>
                        <w:docPartUnique w:val="true"/>
                      </w:docPartObj>
                    </w:sdtPr>
                    <w:sdtContent>
                      <w:p>
                        <w:pPr>
                          <w:pStyle w:val="Footer"/>
                          <w:pBdr/>
                          <w:rPr>
                            <w:rStyle w:val="PageNumber"/>
                            <w:rFonts w:ascii="Marianne" w:hAnsi="Marianne" w:eastAsia="Marianne" w:cs="Marianne"/>
                            <w:sz w:val="21"/>
                            <w:szCs w:val="21"/>
                            <w:lang w:val="fr-FR" w:eastAsia="fr-FR"/>
                          </w:rPr>
                        </w:pPr>
                        <w:r>
                          <w:rPr>
                            <w:rStyle w:val="PageNumber"/>
                            <w:rFonts w:eastAsia="Marianne" w:cs="Marianne"/>
                            <w:sz w:val="21"/>
                            <w:szCs w:val="21"/>
                            <w:lang w:val="fr-FR" w:eastAsia="fr-FR"/>
                          </w:rPr>
                          <w:fldChar w:fldCharType="begin"/>
                        </w:r>
                        <w:r>
                          <w:rPr>
                            <w:rStyle w:val="PageNumber"/>
                            <w:rFonts w:eastAsia="Marianne" w:cs="Marianne"/>
                            <w:sz w:val="21"/>
                            <w:szCs w:val="21"/>
                            <w:lang w:val="fr-FR" w:eastAsia="fr-FR"/>
                          </w:rPr>
                          <w:instrText xml:space="preserve"> PAGE </w:instrText>
                        </w:r>
                        <w:r>
                          <w:rPr>
                            <w:rStyle w:val="PageNumber"/>
                            <w:rFonts w:eastAsia="Marianne" w:cs="Marianne"/>
                            <w:sz w:val="21"/>
                            <w:szCs w:val="21"/>
                            <w:lang w:val="fr-FR" w:eastAsia="fr-FR"/>
                          </w:rPr>
                          <w:fldChar w:fldCharType="separate"/>
                        </w:r>
                        <w:r>
                          <w:rPr>
                            <w:rStyle w:val="PageNumber"/>
                            <w:rFonts w:eastAsia="Marianne" w:cs="Marianne"/>
                            <w:sz w:val="21"/>
                            <w:szCs w:val="21"/>
                            <w:lang w:val="fr-FR" w:eastAsia="fr-FR"/>
                          </w:rPr>
                          <w:t>3</w:t>
                        </w:r>
                        <w:r>
                          <w:rPr>
                            <w:rStyle w:val="PageNumber"/>
                            <w:rFonts w:eastAsia="Marianne" w:cs="Marianne"/>
                            <w:sz w:val="21"/>
                            <w:szCs w:val="21"/>
                            <w:lang w:val="fr-FR" w:eastAsia="fr-F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keepNext w:val="false"/>
      <w:spacing w:lineRule="auto" w:line="240" w:before="0" w:after="0"/>
      <w:rPr/>
    </w:pPr>
    <w:r>
      <w:rPr>
        <w:rFonts w:eastAsia="Marianne" w:cs="Marianne"/>
        <w:color w:val="000000"/>
        <w:sz w:val="21"/>
        <w:szCs w:val="21"/>
        <w:lang w:val="fr-FR" w:eastAsia="fr-FR"/>
      </w:rPr>
      <w:t>P-F06_déroulé_pédagogique-v6</w:t>
    </w:r>
    <w:r>
      <mc:AlternateContent>
        <mc:Choice Requires="wps">
          <w:drawing>
            <wp:anchor distT="0" distB="0" distL="0" distR="0" simplePos="0" relativeHeight="3" behindDoc="0" locked="0" layoutInCell="0" allowOverlap="1">
              <wp:simplePos x="0" y="0"/>
              <wp:positionH relativeFrom="margin">
                <wp:align>center</wp:align>
              </wp:positionH>
              <wp:positionV relativeFrom="paragraph">
                <wp:posOffset>635</wp:posOffset>
              </wp:positionV>
              <wp:extent cx="67310" cy="153670"/>
              <wp:effectExtent l="0" t="0" r="0" b="0"/>
              <wp:wrapNone/>
              <wp:docPr id="4" name="Frame5"/>
              <a:graphic xmlns:a="http://schemas.openxmlformats.org/drawingml/2006/main">
                <a:graphicData uri="http://schemas.microsoft.com/office/word/2010/wordprocessingShape">
                  <wps:wsp>
                    <wps:cNvSpPr txBox="1"/>
                    <wps:spPr>
                      <a:xfrm>
                        <a:off x="0" y="0"/>
                        <a:ext cx="67310" cy="153670"/>
                      </a:xfrm>
                      <a:prstGeom prst="rect"/>
                      <a:solidFill>
                        <a:srgbClr val="FFFFFF">
                          <a:alpha val="0"/>
                        </a:srgbClr>
                      </a:solidFill>
                    </wps:spPr>
                    <wps:txbx>
                      <w:txbxContent>
                        <w:sdt>
                          <w:sdtPr>
                            <w:id w:val="551435120"/>
                            <w:docPartObj>
                              <w:docPartGallery w:val="Page Numbers (Bottom of Page)"/>
                              <w:docPartUnique w:val="true"/>
                            </w:docPartObj>
                          </w:sdtPr>
                          <w:sdtContent>
                            <w:p>
                              <w:pPr>
                                <w:pStyle w:val="Footer"/>
                                <w:pBdr/>
                                <w:rPr>
                                  <w:rStyle w:val="PageNumber"/>
                                  <w:rFonts w:ascii="Marianne" w:hAnsi="Marianne" w:eastAsia="Marianne" w:cs="Marianne"/>
                                  <w:sz w:val="21"/>
                                  <w:szCs w:val="21"/>
                                  <w:lang w:val="fr-FR" w:eastAsia="fr-FR"/>
                                </w:rPr>
                              </w:pPr>
                              <w:r>
                                <w:rPr>
                                  <w:rStyle w:val="PageNumber"/>
                                  <w:rFonts w:eastAsia="Marianne" w:cs="Marianne"/>
                                  <w:sz w:val="21"/>
                                  <w:szCs w:val="21"/>
                                  <w:lang w:val="fr-FR" w:eastAsia="fr-FR"/>
                                </w:rPr>
                                <w:fldChar w:fldCharType="begin"/>
                              </w:r>
                              <w:r>
                                <w:rPr>
                                  <w:rStyle w:val="PageNumber"/>
                                  <w:rFonts w:eastAsia="Marianne" w:cs="Marianne"/>
                                  <w:sz w:val="21"/>
                                  <w:szCs w:val="21"/>
                                  <w:lang w:val="fr-FR" w:eastAsia="fr-FR"/>
                                </w:rPr>
                                <w:instrText xml:space="preserve"> PAGE </w:instrText>
                              </w:r>
                              <w:r>
                                <w:rPr>
                                  <w:rStyle w:val="PageNumber"/>
                                  <w:rFonts w:eastAsia="Marianne" w:cs="Marianne"/>
                                  <w:sz w:val="21"/>
                                  <w:szCs w:val="21"/>
                                  <w:lang w:val="fr-FR" w:eastAsia="fr-FR"/>
                                </w:rPr>
                                <w:fldChar w:fldCharType="separate"/>
                              </w:r>
                              <w:r>
                                <w:rPr>
                                  <w:rStyle w:val="PageNumber"/>
                                  <w:rFonts w:eastAsia="Marianne" w:cs="Marianne"/>
                                  <w:sz w:val="21"/>
                                  <w:szCs w:val="21"/>
                                  <w:lang w:val="fr-FR" w:eastAsia="fr-FR"/>
                                </w:rPr>
                                <w:t>1</w:t>
                              </w:r>
                              <w:r>
                                <w:rPr>
                                  <w:rStyle w:val="PageNumber"/>
                                  <w:rFonts w:eastAsia="Marianne" w:cs="Marianne"/>
                                  <w:sz w:val="21"/>
                                  <w:szCs w:val="21"/>
                                  <w:lang w:val="fr-FR" w:eastAsia="fr-FR"/>
                                </w:rPr>
                                <w:fldChar w:fldCharType="end"/>
                              </w:r>
                            </w:p>
                          </w:sdtContent>
                        </w:sdt>
                      </w:txbxContent>
                    </wps:txbx>
                    <wps:bodyPr anchor="t" lIns="0" tIns="0" rIns="0" bIns="0">
                      <a:spAutoFit/>
                    </wps:bodyPr>
                  </wps:wsp>
                </a:graphicData>
              </a:graphic>
            </wp:anchor>
          </w:drawing>
        </mc:Choice>
        <mc:Fallback>
          <w:pict>
            <v:rect fillcolor="#FFFFFF" style="position:absolute;rotation:-0;width:5.3pt;height:12.1pt;mso-wrap-distance-left:0pt;mso-wrap-distance-right:0pt;mso-wrap-distance-top:0pt;mso-wrap-distance-bottom:0pt;margin-top:0.05pt;mso-position-vertical-relative:text;margin-left:385.9pt;mso-position-horizontal:center;mso-position-horizontal-relative:margin">
              <v:fill opacity="0f"/>
              <v:textbox inset="0in,0in,0in,0in">
                <w:txbxContent>
                  <w:sdt>
                    <w:sdtPr>
                      <w:id w:val="551435120"/>
                      <w:docPartObj>
                        <w:docPartGallery w:val="Page Numbers (Bottom of Page)"/>
                        <w:docPartUnique w:val="true"/>
                      </w:docPartObj>
                    </w:sdtPr>
                    <w:sdtContent>
                      <w:p>
                        <w:pPr>
                          <w:pStyle w:val="Footer"/>
                          <w:pBdr/>
                          <w:rPr>
                            <w:rStyle w:val="PageNumber"/>
                            <w:rFonts w:ascii="Marianne" w:hAnsi="Marianne" w:eastAsia="Marianne" w:cs="Marianne"/>
                            <w:sz w:val="21"/>
                            <w:szCs w:val="21"/>
                            <w:lang w:val="fr-FR" w:eastAsia="fr-FR"/>
                          </w:rPr>
                        </w:pPr>
                        <w:r>
                          <w:rPr>
                            <w:rStyle w:val="PageNumber"/>
                            <w:rFonts w:eastAsia="Marianne" w:cs="Marianne"/>
                            <w:sz w:val="21"/>
                            <w:szCs w:val="21"/>
                            <w:lang w:val="fr-FR" w:eastAsia="fr-FR"/>
                          </w:rPr>
                          <w:fldChar w:fldCharType="begin"/>
                        </w:r>
                        <w:r>
                          <w:rPr>
                            <w:rStyle w:val="PageNumber"/>
                            <w:rFonts w:eastAsia="Marianne" w:cs="Marianne"/>
                            <w:sz w:val="21"/>
                            <w:szCs w:val="21"/>
                            <w:lang w:val="fr-FR" w:eastAsia="fr-FR"/>
                          </w:rPr>
                          <w:instrText xml:space="preserve"> PAGE </w:instrText>
                        </w:r>
                        <w:r>
                          <w:rPr>
                            <w:rStyle w:val="PageNumber"/>
                            <w:rFonts w:eastAsia="Marianne" w:cs="Marianne"/>
                            <w:sz w:val="21"/>
                            <w:szCs w:val="21"/>
                            <w:lang w:val="fr-FR" w:eastAsia="fr-FR"/>
                          </w:rPr>
                          <w:fldChar w:fldCharType="separate"/>
                        </w:r>
                        <w:r>
                          <w:rPr>
                            <w:rStyle w:val="PageNumber"/>
                            <w:rFonts w:eastAsia="Marianne" w:cs="Marianne"/>
                            <w:sz w:val="21"/>
                            <w:szCs w:val="21"/>
                            <w:lang w:val="fr-FR" w:eastAsia="fr-FR"/>
                          </w:rPr>
                          <w:t>1</w:t>
                        </w:r>
                        <w:r>
                          <w:rPr>
                            <w:rStyle w:val="PageNumber"/>
                            <w:rFonts w:eastAsia="Marianne" w:cs="Marianne"/>
                            <w:sz w:val="21"/>
                            <w:szCs w:val="21"/>
                            <w:lang w:val="fr-FR" w:eastAsia="fr-FR"/>
                          </w:rPr>
                          <w:fldChar w:fldCharType="end"/>
                        </w:r>
                      </w:p>
                    </w:sdtContent>
                  </w:sdt>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keepNext w:val="false"/>
      <w:spacing w:lineRule="auto" w:line="240" w:before="0" w:after="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114300" distR="114300" simplePos="0" relativeHeight="2" behindDoc="1" locked="0" layoutInCell="0" allowOverlap="0">
          <wp:simplePos x="0" y="0"/>
          <wp:positionH relativeFrom="margin">
            <wp:posOffset>0</wp:posOffset>
          </wp:positionH>
          <wp:positionV relativeFrom="page">
            <wp:posOffset>144145</wp:posOffset>
          </wp:positionV>
          <wp:extent cx="2011680" cy="688340"/>
          <wp:effectExtent l="0" t="0" r="0" b="0"/>
          <wp:wrapSquare wrapText="bothSides"/>
          <wp:docPr id="1" name="Logo IGPDE" descr="Logo de l’IGP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IGPDE" descr="Logo de l’IGPDE"/>
                  <pic:cNvPicPr>
                    <a:picLocks noChangeAspect="1" noChangeArrowheads="1"/>
                  </pic:cNvPicPr>
                </pic:nvPicPr>
                <pic:blipFill>
                  <a:blip r:embed="rId1"/>
                  <a:stretch>
                    <a:fillRect/>
                  </a:stretch>
                </pic:blipFill>
                <pic:spPr bwMode="auto">
                  <a:xfrm>
                    <a:off x="0" y="0"/>
                    <a:ext cx="2011680" cy="688340"/>
                  </a:xfrm>
                  <a:prstGeom prst="rect">
                    <a:avLst/>
                  </a:prstGeom>
                  <a:noFill/>
                </pic:spPr>
              </pic:pic>
            </a:graphicData>
          </a:graphic>
        </wp:anchor>
      </w:drawing>
    </w:r>
  </w:p>
</w:hdr>
</file>

<file path=word/settings.xml><?xml version="1.0" encoding="utf-8"?>
<w:settings xmlns:w="http://schemas.openxmlformats.org/wordprocessingml/2006/main">
  <w:zoom w:percent="14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arianne" w:hAnsi="Marianne" w:eastAsia="Marianne" w:cs="Marianne"/>
        <w:sz w:val="21"/>
        <w:szCs w:val="21"/>
        <w:lang w:val="fr-FR" w:eastAsia="fr-F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40" w:before="0" w:after="0"/>
      <w:jc w:val="start"/>
    </w:pPr>
    <w:rPr>
      <w:rFonts w:ascii="Marianne" w:hAnsi="Marianne" w:eastAsia="Marianne" w:cs="Marianne"/>
      <w:color w:val="auto"/>
      <w:kern w:val="0"/>
      <w:sz w:val="18"/>
      <w:szCs w:val="21"/>
      <w:lang w:val="fr-FR" w:eastAsia="fr-FR" w:bidi="ar-SA"/>
    </w:rPr>
  </w:style>
  <w:style w:type="paragraph" w:styleId="Heading1">
    <w:name w:val="heading 1"/>
    <w:basedOn w:val="Normal"/>
    <w:next w:val="Normal"/>
    <w:link w:val="Titre1Car"/>
    <w:uiPriority w:val="9"/>
    <w:qFormat/>
    <w:pPr>
      <w:keepNext w:val="true"/>
      <w:keepLines/>
      <w:spacing w:before="120" w:after="120"/>
      <w:jc w:val="center"/>
      <w:outlineLvl w:val="0"/>
    </w:pPr>
    <w:rPr>
      <w:rFonts w:ascii="Marianne" w:hAnsi="Marianne" w:eastAsia="Marianne" w:cs="Marianne"/>
      <w:b/>
      <w:bCs/>
      <w:color w:themeColor="background1" w:val="FFFFFF"/>
      <w:sz w:val="18"/>
      <w:szCs w:val="21"/>
      <w:lang w:val="fr-FR" w:eastAsia="fr-FR"/>
    </w:rPr>
  </w:style>
  <w:style w:type="paragraph" w:styleId="Heading2">
    <w:name w:val="heading 2"/>
    <w:basedOn w:val="Normal"/>
    <w:next w:val="Normal"/>
    <w:link w:val="Titre2Car"/>
    <w:uiPriority w:val="9"/>
    <w:unhideWhenUsed/>
    <w:qFormat/>
    <w:pPr>
      <w:keepNext w:val="true"/>
      <w:keepLines/>
      <w:spacing w:before="40" w:after="0"/>
      <w:outlineLvl w:val="1"/>
    </w:pPr>
    <w:rPr>
      <w:rFonts w:ascii="Marianne" w:hAnsi="Marianne" w:eastAsia="Marianne" w:cs="Marianne"/>
      <w:b/>
      <w:color w:val="000091"/>
      <w:sz w:val="18"/>
      <w:szCs w:val="21"/>
      <w:lang w:val="fr-FR" w:eastAsia="fr-FR"/>
    </w:rPr>
  </w:style>
  <w:style w:type="character" w:styleId="DefaultParagraphFont" w:default="1">
    <w:name w:val="Default Paragraph Font"/>
    <w:uiPriority w:val="1"/>
    <w:semiHidden/>
    <w:unhideWhenUsed/>
    <w:qFormat/>
    <w:rPr>
      <w:rFonts w:ascii="Marianne" w:hAnsi="Marianne" w:eastAsia="Marianne" w:cs="Marianne"/>
      <w:sz w:val="21"/>
      <w:szCs w:val="21"/>
      <w:lang w:val="fr-FR" w:eastAsia="fr-FR"/>
    </w:rPr>
  </w:style>
  <w:style w:type="character" w:styleId="TextedebullesCar" w:customStyle="1">
    <w:name w:val="Texte de bulles Car"/>
    <w:basedOn w:val="DefaultParagraphFont"/>
    <w:link w:val="BalloonText"/>
    <w:uiPriority w:val="99"/>
    <w:semiHidden/>
    <w:qFormat/>
    <w:rPr>
      <w:rFonts w:ascii="Marianne" w:hAnsi="Marianne" w:eastAsia="Marianne" w:cs="Marianne"/>
      <w:sz w:val="21"/>
      <w:szCs w:val="21"/>
      <w:lang w:val="fr-FR" w:eastAsia="fr-FR"/>
    </w:rPr>
  </w:style>
  <w:style w:type="character" w:styleId="En-tteCar" w:customStyle="1">
    <w:name w:val="En-tête Car"/>
    <w:basedOn w:val="DefaultParagraphFont"/>
    <w:link w:val="Header"/>
    <w:uiPriority w:val="99"/>
    <w:qFormat/>
    <w:rPr>
      <w:rFonts w:ascii="Marianne" w:hAnsi="Marianne" w:eastAsia="Marianne" w:cs="Marianne"/>
      <w:sz w:val="21"/>
      <w:szCs w:val="21"/>
      <w:lang w:val="fr-FR" w:eastAsia="fr-FR"/>
    </w:rPr>
  </w:style>
  <w:style w:type="character" w:styleId="PieddepageCar" w:customStyle="1">
    <w:name w:val="Pied de page Car"/>
    <w:basedOn w:val="DefaultParagraphFont"/>
    <w:link w:val="Footer"/>
    <w:uiPriority w:val="99"/>
    <w:qFormat/>
    <w:rPr>
      <w:rFonts w:ascii="Marianne" w:hAnsi="Marianne" w:eastAsia="Marianne" w:cs="Marianne"/>
      <w:sz w:val="21"/>
      <w:szCs w:val="21"/>
      <w:lang w:val="fr-FR" w:eastAsia="fr-FR"/>
    </w:rPr>
  </w:style>
  <w:style w:type="character" w:styleId="notion-enable-hover" w:customStyle="1">
    <w:name w:val="notion-enable-hover"/>
    <w:basedOn w:val="DefaultParagraphFont"/>
    <w:qFormat/>
    <w:rPr>
      <w:rFonts w:ascii="Marianne" w:hAnsi="Marianne" w:eastAsia="Marianne" w:cs="Marianne"/>
      <w:sz w:val="21"/>
      <w:szCs w:val="21"/>
      <w:lang w:val="fr-FR" w:eastAsia="fr-FR"/>
    </w:rPr>
  </w:style>
  <w:style w:type="character" w:styleId="Titre1Car" w:customStyle="1">
    <w:name w:val="Titre 1 Car"/>
    <w:basedOn w:val="DefaultParagraphFont"/>
    <w:link w:val="Heading1"/>
    <w:uiPriority w:val="9"/>
    <w:qFormat/>
    <w:rPr>
      <w:rFonts w:ascii="Marianne" w:hAnsi="Marianne" w:eastAsia="Marianne" w:cs="Marianne"/>
      <w:color w:themeColor="background1" w:val="FFFFFF"/>
      <w:sz w:val="21"/>
      <w:szCs w:val="21"/>
      <w:lang w:val="fr-FR" w:eastAsia="fr-FR"/>
    </w:rPr>
  </w:style>
  <w:style w:type="character" w:styleId="Titre2Car" w:customStyle="1">
    <w:name w:val="Titre 2 Car"/>
    <w:basedOn w:val="DefaultParagraphFont"/>
    <w:link w:val="Heading2"/>
    <w:uiPriority w:val="9"/>
    <w:qFormat/>
    <w:rPr>
      <w:rFonts w:ascii="Marianne" w:hAnsi="Marianne" w:eastAsia="Marianne" w:cs="Marianne"/>
      <w:b/>
      <w:color w:val="000091"/>
      <w:sz w:val="21"/>
      <w:szCs w:val="21"/>
      <w:lang w:val="fr-FR" w:eastAsia="fr-FR"/>
    </w:rPr>
  </w:style>
  <w:style w:type="character" w:styleId="bold" w:customStyle="1">
    <w:name w:val="bold"/>
    <w:basedOn w:val="DefaultParagraphFont"/>
    <w:qFormat/>
    <w:rPr>
      <w:rFonts w:ascii="Marianne" w:hAnsi="Marianne" w:eastAsia="Marianne" w:cs="Marianne"/>
      <w:sz w:val="21"/>
      <w:szCs w:val="21"/>
      <w:lang w:val="fr-FR" w:eastAsia="fr-FR"/>
    </w:rPr>
  </w:style>
  <w:style w:type="character" w:styleId="ng-star-inserted" w:customStyle="1">
    <w:name w:val="ng-star-inserted"/>
    <w:basedOn w:val="DefaultParagraphFont"/>
    <w:qFormat/>
    <w:rPr>
      <w:rFonts w:ascii="Marianne" w:hAnsi="Marianne" w:eastAsia="Marianne" w:cs="Marianne"/>
      <w:sz w:val="21"/>
      <w:szCs w:val="21"/>
      <w:lang w:val="fr-FR" w:eastAsia="fr-FR"/>
    </w:rPr>
  </w:style>
  <w:style w:type="character" w:styleId="Strong">
    <w:name w:val="Strong"/>
    <w:basedOn w:val="DefaultParagraphFont"/>
    <w:uiPriority w:val="22"/>
    <w:qFormat/>
    <w:rPr>
      <w:rFonts w:ascii="Marianne" w:hAnsi="Marianne" w:eastAsia="Marianne" w:cs="Marianne"/>
      <w:b/>
      <w:bCs/>
      <w:sz w:val="21"/>
      <w:szCs w:val="21"/>
      <w:lang w:val="fr-FR" w:eastAsia="fr-FR"/>
    </w:rPr>
  </w:style>
  <w:style w:type="character" w:styleId="TitreCar" w:customStyle="1">
    <w:name w:val="Titre Car"/>
    <w:basedOn w:val="DefaultParagraphFont"/>
    <w:link w:val="Title"/>
    <w:uiPriority w:val="10"/>
    <w:qFormat/>
    <w:rPr>
      <w:rFonts w:ascii="Marianne" w:hAnsi="Marianne" w:eastAsia="Marianne" w:cs="Marianne"/>
      <w:spacing w:val="-10"/>
      <w:kern w:val="2"/>
      <w:sz w:val="21"/>
      <w:szCs w:val="21"/>
      <w:lang w:val="fr-FR" w:eastAsia="fr-FR"/>
    </w:rPr>
  </w:style>
  <w:style w:type="character" w:styleId="CommentReference">
    <w:name w:val="annotation reference"/>
    <w:basedOn w:val="DefaultParagraphFont"/>
    <w:uiPriority w:val="99"/>
    <w:semiHidden/>
    <w:unhideWhenUsed/>
    <w:qFormat/>
    <w:rPr>
      <w:rFonts w:ascii="Marianne" w:hAnsi="Marianne" w:eastAsia="Marianne" w:cs="Marianne"/>
      <w:sz w:val="21"/>
      <w:szCs w:val="21"/>
      <w:lang w:val="fr-FR" w:eastAsia="fr-FR"/>
    </w:rPr>
  </w:style>
  <w:style w:type="character" w:styleId="CommentaireCar" w:customStyle="1">
    <w:name w:val="Commentaire Car"/>
    <w:basedOn w:val="DefaultParagraphFont"/>
    <w:link w:val="CommentText"/>
    <w:uiPriority w:val="99"/>
    <w:semiHidden/>
    <w:qFormat/>
    <w:rPr>
      <w:rFonts w:ascii="Marianne" w:hAnsi="Marianne" w:eastAsia="Marianne" w:cs="Marianne"/>
      <w:sz w:val="21"/>
      <w:szCs w:val="21"/>
      <w:lang w:val="fr-FR" w:eastAsia="fr-FR"/>
    </w:rPr>
  </w:style>
  <w:style w:type="character" w:styleId="ObjetducommentaireCar" w:customStyle="1">
    <w:name w:val="Objet du commentaire Car"/>
    <w:basedOn w:val="CommentaireCar"/>
    <w:link w:val="annotationsubject"/>
    <w:uiPriority w:val="99"/>
    <w:semiHidden/>
    <w:qFormat/>
    <w:rPr>
      <w:rFonts w:ascii="Marianne" w:hAnsi="Marianne" w:eastAsia="Marianne" w:cs="Marianne"/>
      <w:b/>
      <w:bCs/>
      <w:sz w:val="21"/>
      <w:szCs w:val="21"/>
      <w:lang w:val="fr-FR" w:eastAsia="fr-FR"/>
    </w:rPr>
  </w:style>
  <w:style w:type="character" w:styleId="PageNumber">
    <w:name w:val="page number"/>
    <w:basedOn w:val="DefaultParagraphFont"/>
    <w:uiPriority w:val="99"/>
    <w:semiHidden/>
    <w:unhideWhenUsed/>
    <w:rsid w:val="00114a00"/>
    <w:rPr>
      <w:rFonts w:ascii="Marianne" w:hAnsi="Marianne" w:eastAsia="Marianne" w:cs="Marianne"/>
      <w:sz w:val="21"/>
      <w:szCs w:val="21"/>
      <w:lang w:val="fr-FR" w:eastAsia="fr-F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Web">
    <w:name w:val="Normal (Web)"/>
    <w:basedOn w:val="Normal"/>
    <w:uiPriority w:val="99"/>
    <w:semiHidden/>
    <w:unhideWhenUsed/>
    <w:qFormat/>
    <w:pPr>
      <w:spacing w:beforeAutospacing="1" w:afterAutospacing="1"/>
    </w:pPr>
    <w:rPr>
      <w:rFonts w:ascii="Marianne" w:hAnsi="Marianne" w:eastAsia="Marianne" w:cs="Marianne"/>
      <w:sz w:val="21"/>
      <w:szCs w:val="21"/>
      <w:lang w:val="fr-FR" w:eastAsia="fr-FR"/>
    </w:rPr>
  </w:style>
  <w:style w:type="paragraph" w:styleId="BalloonText">
    <w:name w:val="Balloon Text"/>
    <w:basedOn w:val="Normal"/>
    <w:link w:val="TextedebullesCar"/>
    <w:uiPriority w:val="99"/>
    <w:semiHidden/>
    <w:unhideWhenUsed/>
    <w:qFormat/>
    <w:pPr/>
    <w:rPr>
      <w:rFonts w:ascii="Marianne" w:hAnsi="Marianne" w:eastAsia="Marianne" w:cs="Marianne"/>
      <w:sz w:val="21"/>
      <w:szCs w:val="21"/>
      <w:lang w:val="fr-FR" w:eastAsia="fr-FR"/>
    </w:rPr>
  </w:style>
  <w:style w:type="paragraph" w:styleId="HeaderandFooter">
    <w:name w:val="Header and Footer"/>
    <w:basedOn w:val="Normal"/>
    <w:qFormat/>
    <w:pPr/>
    <w:rPr/>
  </w:style>
  <w:style w:type="paragraph" w:styleId="Header">
    <w:name w:val="header"/>
    <w:basedOn w:val="Normal"/>
    <w:link w:val="En-tteCar"/>
    <w:uiPriority w:val="99"/>
    <w:unhideWhenUsed/>
    <w:pPr>
      <w:tabs>
        <w:tab w:val="clear" w:pos="708"/>
        <w:tab w:val="center" w:pos="4536" w:leader="none"/>
        <w:tab w:val="right" w:pos="9072" w:leader="none"/>
      </w:tabs>
    </w:pPr>
    <w:rPr>
      <w:rFonts w:ascii="Marianne" w:hAnsi="Marianne" w:eastAsia="Marianne" w:cs="Marianne"/>
      <w:sz w:val="21"/>
      <w:szCs w:val="21"/>
      <w:lang w:val="fr-FR" w:eastAsia="fr-FR"/>
    </w:rPr>
  </w:style>
  <w:style w:type="paragraph" w:styleId="Footer">
    <w:name w:val="footer"/>
    <w:basedOn w:val="Normal"/>
    <w:link w:val="PieddepageCar"/>
    <w:uiPriority w:val="99"/>
    <w:unhideWhenUsed/>
    <w:pPr>
      <w:tabs>
        <w:tab w:val="clear" w:pos="708"/>
        <w:tab w:val="center" w:pos="4536" w:leader="none"/>
        <w:tab w:val="right" w:pos="9072" w:leader="none"/>
      </w:tabs>
    </w:pPr>
    <w:rPr>
      <w:rFonts w:ascii="Marianne" w:hAnsi="Marianne" w:eastAsia="Marianne" w:cs="Marianne"/>
      <w:sz w:val="21"/>
      <w:szCs w:val="21"/>
      <w:lang w:val="fr-FR" w:eastAsia="fr-FR"/>
    </w:rPr>
  </w:style>
  <w:style w:type="paragraph" w:styleId="ListParagraph">
    <w:name w:val="List Paragraph"/>
    <w:basedOn w:val="Normal"/>
    <w:uiPriority w:val="1"/>
    <w:qFormat/>
    <w:pPr>
      <w:spacing w:before="0" w:after="0"/>
      <w:ind w:start="720"/>
      <w:contextualSpacing/>
    </w:pPr>
    <w:rPr>
      <w:rFonts w:ascii="Marianne" w:hAnsi="Marianne" w:eastAsia="Marianne" w:cs="Marianne"/>
      <w:sz w:val="21"/>
      <w:szCs w:val="21"/>
      <w:lang w:val="fr-FR" w:eastAsia="fr-FR"/>
    </w:rPr>
  </w:style>
  <w:style w:type="paragraph" w:styleId="whitespace-pre-wrap" w:customStyle="1">
    <w:name w:val="whitespace-pre-wrap"/>
    <w:basedOn w:val="Normal"/>
    <w:qFormat/>
    <w:pPr>
      <w:spacing w:beforeAutospacing="1" w:afterAutospacing="1"/>
    </w:pPr>
    <w:rPr>
      <w:rFonts w:ascii="Marianne" w:hAnsi="Marianne" w:eastAsia="Marianne" w:cs="Marianne"/>
      <w:b/>
      <w:bCs/>
      <w:sz w:val="21"/>
      <w:szCs w:val="21"/>
      <w:lang w:val="fr-FR" w:eastAsia="fr-FR"/>
    </w:rPr>
  </w:style>
  <w:style w:type="paragraph" w:styleId="ql-indent-1" w:customStyle="1">
    <w:name w:val="ql-indent-1"/>
    <w:basedOn w:val="Normal"/>
    <w:qFormat/>
    <w:pPr>
      <w:spacing w:beforeAutospacing="1" w:afterAutospacing="1"/>
    </w:pPr>
    <w:rPr>
      <w:rFonts w:ascii="Marianne" w:hAnsi="Marianne" w:eastAsia="Marianne" w:cs="Marianne"/>
      <w:b/>
      <w:bCs/>
      <w:sz w:val="21"/>
      <w:szCs w:val="21"/>
      <w:lang w:val="fr-FR" w:eastAsia="fr-FR"/>
    </w:rPr>
  </w:style>
  <w:style w:type="paragraph" w:styleId="Title">
    <w:name w:val="Title"/>
    <w:basedOn w:val="Normal"/>
    <w:next w:val="Normal"/>
    <w:link w:val="TitreCar"/>
    <w:uiPriority w:val="10"/>
    <w:qFormat/>
    <w:pPr>
      <w:spacing w:before="0" w:after="0"/>
      <w:contextualSpacing/>
    </w:pPr>
    <w:rPr>
      <w:rFonts w:ascii="Marianne" w:hAnsi="Marianne" w:eastAsia="Marianne" w:cs="Marianne"/>
      <w:spacing w:val="-10"/>
      <w:kern w:val="2"/>
      <w:sz w:val="21"/>
      <w:szCs w:val="21"/>
      <w:lang w:val="fr-FR" w:eastAsia="fr-FR"/>
    </w:rPr>
  </w:style>
  <w:style w:type="paragraph" w:styleId="Revision">
    <w:name w:val="Revision"/>
    <w:uiPriority w:val="99"/>
    <w:semiHidden/>
    <w:qFormat/>
    <w:pPr>
      <w:widowControl/>
      <w:bidi w:val="0"/>
      <w:spacing w:lineRule="auto" w:line="240" w:before="0" w:after="0"/>
      <w:jc w:val="start"/>
    </w:pPr>
    <w:rPr>
      <w:rFonts w:ascii="Marianne" w:hAnsi="Marianne" w:eastAsia="Marianne" w:cs="Marianne"/>
      <w:color w:val="auto"/>
      <w:kern w:val="0"/>
      <w:sz w:val="21"/>
      <w:szCs w:val="21"/>
      <w:lang w:val="fr-FR" w:eastAsia="fr-FR" w:bidi="ar-SA"/>
    </w:rPr>
  </w:style>
  <w:style w:type="paragraph" w:styleId="CommentText">
    <w:name w:val="annotation text"/>
    <w:basedOn w:val="Normal"/>
    <w:link w:val="CommentaireCar"/>
    <w:uiPriority w:val="99"/>
    <w:semiHidden/>
    <w:unhideWhenUsed/>
    <w:pPr/>
    <w:rPr>
      <w:rFonts w:ascii="Marianne" w:hAnsi="Marianne" w:eastAsia="Marianne" w:cs="Marianne"/>
      <w:sz w:val="21"/>
      <w:szCs w:val="21"/>
      <w:lang w:val="fr-FR" w:eastAsia="fr-FR"/>
    </w:rPr>
  </w:style>
  <w:style w:type="paragraph" w:styleId="annotationsubject">
    <w:name w:val="annotation subject"/>
    <w:basedOn w:val="CommentText"/>
    <w:next w:val="CommentText"/>
    <w:link w:val="ObjetducommentaireCar"/>
    <w:uiPriority w:val="99"/>
    <w:semiHidden/>
    <w:unhideWhenUsed/>
    <w:qFormat/>
    <w:pPr/>
    <w:rPr>
      <w:rFonts w:ascii="Marianne" w:hAnsi="Marianne" w:eastAsia="Marianne" w:cs="Marianne"/>
      <w:b/>
      <w:bCs/>
      <w:sz w:val="21"/>
      <w:szCs w:val="21"/>
      <w:lang w:val="fr-FR" w:eastAsia="fr-F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auNormal">
    <w:name w:val="Normal Table"/>
    <w:uiPriority w:val="99"/>
    <w:semiHidden/>
    <w:unhideWhenUsed/>
    <w:rPr>
      <w:sz w:val="21"/>
      <w:szCs w:val="21"/>
      <w:lang w:val="fr-FR" w:eastAsia="fr-FR"/>
    </w:rPr>
    <w:tblPr>
      <w:tblCellMar>
        <w:top w:w="0" w:type="dxa"/>
        <w:left w:w="108" w:type="dxa"/>
        <w:bottom w:w="0" w:type="dxa"/>
        <w:right w:w="108" w:type="dxa"/>
      </w:tblCellMar>
    </w:tblPr>
  </w:style>
  <w:style w:type="table" w:styleId="TableauGrille5Fonc-Accentuation5">
    <w:name w:val="Grid Table 5 Dark Accent 5"/>
    <w:basedOn w:val="TableauNormal"/>
    <w:uiPriority w:val="50"/>
    <w:pPr>
      <w:spacing w:after="0" w:line="240" w:lineRule="auto"/>
    </w:pPr>
    <w:rPr>
      <w:sz w:val="21"/>
      <w:szCs w:val="21"/>
      <w:lang w:val="fr-FR" w:eastAsia="fr-FR"/>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sz w:val="21"/>
        <w:szCs w:val="21"/>
        <w:lang w:val="fr-FR" w:eastAsia="fr-FR"/>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sz w:val="21"/>
        <w:szCs w:val="21"/>
        <w:lang w:val="fr-FR" w:eastAsia="fr-FR"/>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sz w:val="21"/>
        <w:szCs w:val="21"/>
        <w:lang w:val="fr-FR" w:eastAsia="fr-FR"/>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sz w:val="21"/>
        <w:szCs w:val="21"/>
        <w:lang w:val="fr-FR" w:eastAsia="fr-FR"/>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lledutableau">
    <w:name w:val="Table Grid"/>
    <w:basedOn w:val="TableauNormal"/>
    <w:uiPriority w:val="39"/>
    <w:pPr>
      <w:spacing w:after="0" w:line="240" w:lineRule="auto"/>
    </w:pPr>
    <w:rPr>
      <w:sz w:val="21"/>
      <w:szCs w:val="21"/>
      <w:lang w:val="fr-FR" w:eastAsia="fr-F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auGrille1Clair-Accentuation1">
    <w:name w:val="Grid Table 1 Light Accent 1"/>
    <w:basedOn w:val="TableauNormal"/>
    <w:uiPriority w:val="46"/>
    <w:pPr>
      <w:spacing w:after="0" w:line="240" w:lineRule="auto"/>
    </w:pPr>
    <w:rPr>
      <w:sz w:val="21"/>
      <w:szCs w:val="21"/>
      <w:lang w:val="fr-FR" w:eastAsia="fr-FR"/>
    </w:rPr>
    <w:tblPr>
      <w:tblStyleRowBandSize w:val="1"/>
      <w:tblStyleColBandSize w:val="1"/>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sz w:val="21"/>
        <w:szCs w:val="21"/>
        <w:lang w:val="fr-FR" w:eastAsia="fr-FR"/>
      </w:rPr>
      <w:tblPr/>
      <w:tcPr>
        <w:tcBorders>
          <w:bottom w:val="single" w:color="9CC2E5" w:themeColor="accent1" w:sz="12" w:space="0"/>
        </w:tcBorders>
      </w:tcPr>
    </w:tblStylePr>
    <w:tblStylePr w:type="lastRow">
      <w:rPr>
        <w:b/>
        <w:bCs/>
        <w:sz w:val="21"/>
        <w:szCs w:val="21"/>
        <w:lang w:val="fr-FR" w:eastAsia="fr-FR"/>
      </w:rPr>
      <w:tblPr/>
      <w:tcPr>
        <w:tcBorders>
          <w:top w:val="double" w:color="9CC2E5" w:themeColor="accent1" w:sz="2" w:space="0"/>
        </w:tcBorders>
      </w:tcPr>
    </w:tblStylePr>
    <w:tblStylePr w:type="firstCol">
      <w:rPr>
        <w:b/>
        <w:bCs/>
        <w:sz w:val="21"/>
        <w:szCs w:val="21"/>
        <w:lang w:val="fr-FR" w:eastAsia="fr-FR"/>
      </w:rPr>
      <w:tblPr/>
    </w:tblStylePr>
    <w:tblStylePr w:type="lastCol">
      <w:rPr>
        <w:b/>
        <w:bCs/>
        <w:sz w:val="21"/>
        <w:szCs w:val="21"/>
        <w:lang w:val="fr-FR" w:eastAsia="fr-FR"/>
      </w:rPr>
      <w:tbl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AA656A-C0A1-F943-8BBE-323E451C39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Application>LibreOffice/26.2.4.2$MacOSX_AARCH64 LibreOffice_project/0229ac93fcf0d7cbc6376066c6f35021cef002dc</Application>
  <AppVersion>15.0000</AppVersion>
  <Pages>8</Pages>
  <Words>1493</Words>
  <Characters>8213</Characters>
  <CharactersWithSpaces>9687</CharactersWithSpaces>
  <Paragraphs>19</Paragraphs>
  <Company>Secrétariat Général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2024-10-02T10:15:00Z</dcterms:created>
  <dc:creator>IGPDE</dc:creator>
  <dc:description>Document actualisé pour la session du 9 octobre 2026, à partir de la fiche catalogue V2, du programme V2, du support officiel 102846 et des cinq présentations projetées.</dc:description>
  <cp:keywords>accessibilité numérique bureautique web réseaux sociaux IGPDE 102846</cp:keywords>
  <dc:language>fr-FR</dc:language>
  <cp:lastModifiedBy>Alexandra Guiderdoni</cp:lastModifiedBy>
  <dcterms:modified xsi:type="dcterms:W3CDTF">2024-11-25T18:37:00Z</dcterms:modified>
  <cp:revision>23</cp:revision>
  <dc:subject>Formation IGPDE 102846</dc:subject>
  <dc:title>Déroulé pédagogique - L'accessibilité numérique pour la bureautique et le web</dc:title>
</cp:coreProperties>
</file>

<file path=docProps/custom.xml><?xml version="1.0" encoding="utf-8"?>
<Properties xmlns="http://schemas.openxmlformats.org/officeDocument/2006/custom-properties" xmlns:vt="http://schemas.openxmlformats.org/officeDocument/2006/docPropsVTypes"/>
</file>