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91"/>
          <w:sz w:val="32"/>
        </w:rP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b/>
          <w:color w:val="000091"/>
          <w:sz w:val="28"/>
        </w:rPr>
        <w:t>Sommaire</w:t>
      </w:r>
    </w:p>
    <w:p>
      <w:r>
        <w:t>Résultats du trimestre .............. 2</w:t>
      </w:r>
    </w:p>
    <w:p>
      <w:r>
        <w:t>Détail par canal .............. 3</w:t>
      </w:r>
    </w:p>
    <w:p>
      <w:r>
        <w:t>Organisation du service .............. 4</w:t>
      </w:r>
    </w:p>
    <w:p>
      <w:r>
        <w:t>Contact .............. 5</w:t>
      </w:r>
    </w:p>
    <w:p>
      <w:r>
        <w:t>Annexes .............. 5</w:t>
      </w:r>
    </w:p>
    <w:p/>
    <w:p>
      <w:r>
        <w:rPr>
          <w:rFonts w:ascii="Arial" w:hAnsi="Arial"/>
          <w:color w:val="FF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r>
        <w:rPr>
          <w:rFonts w:ascii="Arial" w:hAnsi="Arial"/>
          <w:b/>
          <w:color w:val="000091"/>
          <w:sz w:val="28"/>
        </w:rP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Indicateur</w:t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/>
    <w:p/>
    <w:p/>
    <w:p/>
    <w:p>
      <w:r>
        <w:t>Objectifs du trimestre :</w:t>
      </w:r>
    </w:p>
    <w:p>
      <w:r>
        <w:t>- Augmenter le trafic de 10 %</w:t>
      </w:r>
    </w:p>
    <w:p>
      <w:r>
        <w:t>- Publier 3 articles par semaine</w:t>
      </w:r>
    </w:p>
    <w:p>
      <w:r>
        <w:t>- Reduire le taux de rebond sous 40 %</w:t>
      </w:r>
    </w:p>
    <w:p>
      <w:r>
        <w:t>Priorites pour le prochain trimestre :</w:t>
      </w:r>
    </w:p>
    <w:p>
      <w:r>
        <w:t>1. Refonte de la page d'accueil</w:t>
      </w:r>
    </w:p>
    <w:p>
      <w:r>
        <w:t>2. Mise en conformite accessibilite</w:t>
      </w:r>
    </w:p>
    <w:p>
      <w:r>
        <w:t>3. Deploiement de la newsletter</w:t>
      </w:r>
    </w:p>
    <w:p/>
    <w:p>
      <w:r>
        <w:rPr>
          <w:rFonts w:ascii="Arial" w:hAnsi="Arial"/>
          <w:b/>
          <w:color w:val="000091"/>
          <w:sz w:val="24"/>
          <w:u w:val="single"/>
        </w:rP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t>The quarterly report is available upon request. Please contact the communication department for further details.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4"/>
        </w:rPr>
        <w:t>Répartition par service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Direction des affaires juridiques</w:t>
            </w:r>
          </w:p>
        </w:tc>
      </w:tr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Effectif</w:t>
            </w:r>
          </w:p>
        </w:tc>
        <w:tc>
          <w:tcPr>
            <w:tcW w:type="dxa" w:w="2880"/>
          </w:tcPr>
          <w:p>
            <w:r>
              <w:t>Budget</w:t>
            </w:r>
          </w:p>
        </w:tc>
      </w:tr>
      <w:tr>
        <w:tc>
          <w:tcPr>
            <w:tcW w:type="dxa" w:w="2880"/>
          </w:tcPr>
          <w:p>
            <w:r>
              <w:t>Communication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45 000</w:t>
            </w:r>
          </w:p>
        </w:tc>
      </w:tr>
      <w:tr>
        <w:tc>
          <w:tcPr>
            <w:tcW w:type="dxa" w:w="2880"/>
          </w:tcPr>
          <w:p>
            <w:r>
              <w:t>Juridique</w:t>
            </w:r>
          </w:p>
        </w:tc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t>120 000</w:t>
            </w:r>
          </w:p>
        </w:tc>
      </w:tr>
    </w:tbl>
    <w:p/>
    <w:p>
      <w:r>
        <w:rPr>
          <w:rFonts w:ascii="Arial" w:hAnsi="Arial"/>
          <w:b/>
          <w:color w:val="000091"/>
          <w:sz w:val="28"/>
        </w:rPr>
        <w:t>ANNEXES</w:t>
      </w:r>
    </w:p>
    <w:p>
      <w:r>
        <w:t xml:space="preserve">Pour accéder aux annexes, </w:t>
      </w:r>
      <w:hyperlink r:id="rId14">
        <w:r>
          <w:rPr>
            <w:color w:val="0000FF"/>
            <w:u w:val="single"/>
          </w:rPr>
          <w:t>cliquez ici</w:t>
        </w:r>
      </w:hyperlink>
      <w:r>
        <w:t>.</w:t>
      </w:r>
    </w:p>
    <w:p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Direction des affaires juridiques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yperlink" Target="https://example.org/annexes-rapport-t1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