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sz w:val="22"/>
        </w:rPr>
        <w:t>Document confidentiel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(Table des matières - mettre à jour avec F9)</w:t>
      </w:r>
      <w:r>
        <w:fldChar w:fldCharType="end"/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rattache directement a la direction.</w:t>
      </w:r>
    </w:p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>
      <w:r>
        <w:rPr>
          <w:rFonts w:ascii="Arial" w:hAnsi="Arial"/>
          <w:sz w:val="22"/>
        </w:rPr>
        <w:t>Avis important : les indicateurs du T2 2025 seront transmis avant le 15 septembre 2025.</w:t>
      </w:r>
    </w:p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2"/>
      </w:pPr>
      <w:r>
        <w:rPr>
          <w:caps/>
        </w:rPr>
        <w:t>Annexes</w:t>
      </w:r>
    </w:p>
    <w:p>
      <w:hyperlink r:id="rId14">
        <w:r>
          <w:rPr>
            <w:color w:val="0000FF"/>
            <w:u w:val="single"/>
          </w:rPr>
          <w:t>Consulter les annexes du rapport T1 2025 (PDF, 1,2 Mo)</w:t>
        </w:r>
      </w:hyperlink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- Bilan T1 2025</dc:title>
  <dc:subject>Bilan communication numérique T1 2025</dc:subject>
  <dc:creator>Sami Dupont</dc:creator>
  <cp:keywords>accessibilite, document bureautique, Word, rapport trimestriel, communication numerique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