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91"/>
          <w:sz w:val="32"/>
        </w:rP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r>
        <w:rPr>
          <w:rFonts w:ascii="Arial" w:hAnsi="Arial"/>
          <w:b/>
          <w:color w:val="000091"/>
          <w:sz w:val="28"/>
        </w:rPr>
        <w:t>Sommaire</w:t>
      </w:r>
    </w:p>
    <w:p>
      <w:r>
        <w:t>Résultats du trimestre .............. 2</w:t>
      </w:r>
    </w:p>
    <w:p>
      <w:r>
        <w:t>Détail par canal .............. 3</w:t>
      </w:r>
    </w:p>
    <w:p>
      <w:r>
        <w:t>Organisation du service .............. 4</w:t>
      </w:r>
    </w:p>
    <w:p>
      <w:r>
        <w:t>Contact .............. 5</w:t>
      </w:r>
    </w:p>
    <w:p>
      <w:r>
        <w:t>Annexes .............. 5</w:t>
      </w:r>
    </w:p>
    <w:p/>
    <w:p>
      <w:r>
        <w:rPr>
          <w:rFonts w:ascii="Arial" w:hAnsi="Arial"/>
          <w:color w:val="FF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r>
        <w:rPr>
          <w:rFonts w:ascii="Arial" w:hAnsi="Arial"/>
          <w:b/>
          <w:color w:val="000091"/>
          <w:sz w:val="28"/>
        </w:rP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Indicateur</w:t>
            </w:r>
          </w:p>
        </w:tc>
        <w:tc>
          <w:tcPr>
            <w:tcW w:type="dxa" w:w="2160"/>
          </w:tcPr>
          <w:p>
            <w:r>
              <w:t>T4 2024</w:t>
            </w:r>
          </w:p>
        </w:tc>
        <w:tc>
          <w:tcPr>
            <w:tcW w:type="dxa" w:w="2160"/>
          </w:tcPr>
          <w:p>
            <w:r>
              <w:t>T1 2025</w:t>
            </w:r>
          </w:p>
        </w:tc>
        <w:tc>
          <w:tcPr>
            <w:tcW w:type="dxa" w:w="2160"/>
          </w:tcPr>
          <w:p>
            <w:r>
              <w:t>Évolution</w:t>
            </w:r>
          </w:p>
        </w:tc>
      </w:tr>
      <w:tr>
        <w:tc>
          <w:tcPr>
            <w:tcW w:type="dxa" w:w="2160"/>
          </w:tcPr>
          <w:p>
            <w:r>
              <w:t>Visiteurs uniques</w:t>
            </w:r>
          </w:p>
        </w:tc>
        <w:tc>
          <w:tcPr>
            <w:tcW w:type="dxa" w:w="2160"/>
          </w:tcPr>
          <w:p>
            <w:r>
              <w:t>45 200</w:t>
            </w:r>
          </w:p>
        </w:tc>
        <w:tc>
          <w:tcPr>
            <w:tcW w:type="dxa" w:w="2160"/>
          </w:tcPr>
          <w:p>
            <w:r>
              <w:t>50 600</w:t>
            </w:r>
          </w:p>
        </w:tc>
        <w:tc>
          <w:tcPr>
            <w:tcW w:type="dxa" w:w="2160"/>
          </w:tcPr>
          <w:p>
            <w:r>
              <w:t>+12 %</w:t>
            </w:r>
          </w:p>
        </w:tc>
      </w:tr>
      <w:tr>
        <w:tc>
          <w:tcPr>
            <w:tcW w:type="dxa" w:w="2160"/>
          </w:tcPr>
          <w:p>
            <w:r>
              <w:t>Pages vues</w:t>
            </w:r>
          </w:p>
        </w:tc>
        <w:tc>
          <w:tcPr>
            <w:tcW w:type="dxa" w:w="2160"/>
          </w:tcPr>
          <w:p>
            <w:r>
              <w:t>128 000</w:t>
            </w:r>
          </w:p>
        </w:tc>
        <w:tc>
          <w:tcPr>
            <w:tcW w:type="dxa" w:w="2160"/>
          </w:tcPr>
          <w:p>
            <w:r>
              <w:t>142 000</w:t>
            </w:r>
          </w:p>
        </w:tc>
        <w:tc>
          <w:tcPr>
            <w:tcW w:type="dxa" w:w="2160"/>
          </w:tcPr>
          <w:p>
            <w:r>
              <w:t>+11 %</w:t>
            </w:r>
          </w:p>
        </w:tc>
      </w:tr>
      <w:tr>
        <w:tc>
          <w:tcPr>
            <w:tcW w:type="dxa" w:w="2160"/>
          </w:tcPr>
          <w:p>
            <w:r>
              <w:t>Taux de rebond</w:t>
            </w:r>
          </w:p>
        </w:tc>
        <w:tc>
          <w:tcPr>
            <w:tcW w:type="dxa" w:w="2160"/>
          </w:tcPr>
          <w:p>
            <w:r>
              <w:t>42 %</w:t>
            </w:r>
          </w:p>
        </w:tc>
        <w:tc>
          <w:tcPr>
            <w:tcW w:type="dxa" w:w="2160"/>
          </w:tcPr>
          <w:p>
            <w:r>
              <w:t>38 %</w:t>
            </w:r>
          </w:p>
        </w:tc>
        <w:tc>
          <w:tcPr>
            <w:tcW w:type="dxa" w:w="2160"/>
          </w:tcPr>
          <w:p>
            <w:r>
              <w:t>-4 pts</w:t>
            </w:r>
          </w:p>
        </w:tc>
      </w:tr>
    </w:tbl>
    <w:p/>
    <w:p/>
    <w:p/>
    <w:p/>
    <w:p>
      <w:r>
        <w:t>Objectifs du trimestre :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Augmenter le trafic de 10 %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Reduire le taux de rebond sous 40 %</w:t>
      </w:r>
    </w:p>
    <w:p>
      <w:r>
        <w:t>Priorites pour le prochain trimestre :</w:t>
      </w:r>
    </w:p>
    <w:p>
      <w:pPr>
        <w:ind w:left="504" w:hanging="259"/>
      </w:pPr>
      <w:r>
        <w:rPr>
          <w:rFonts w:ascii="Arial" w:hAnsi="Arial"/>
          <w:sz w:val="22"/>
        </w:rPr>
        <w:t>1.</w:t>
        <w:tab/>
        <w:t>Refonte de la page d'accueil</w:t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conformite accessibilite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Deploiement de la newsletter</w:t>
      </w:r>
    </w:p>
    <w:p/>
    <w:p>
      <w:r>
        <w:rPr>
          <w:rFonts w:ascii="Arial" w:hAnsi="Arial"/>
          <w:b/>
          <w:color w:val="000091"/>
          <w:sz w:val="24"/>
          <w:u w:val="single"/>
        </w:rP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8"/>
        </w:rPr>
        <w:t>Organisation du 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8"/>
        </w:rPr>
        <w:t>Contact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r>
        <w:t>The quarterly report is available upon request. Please contact the communication department for further details.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4"/>
        </w:rPr>
        <w:t>Répartition par service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rPr>
                <w:rFonts w:ascii="Arial" w:hAnsi="Arial"/>
                <w:b/>
                <w:sz w:val="20"/>
              </w:rPr>
              <w:t>Direction des affaires juridiques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Effectif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/>
    <w:p>
      <w:r>
        <w:rPr>
          <w:rFonts w:ascii="Arial" w:hAnsi="Arial"/>
          <w:b/>
          <w:color w:val="000091"/>
          <w:sz w:val="28"/>
        </w:rPr>
        <w:t>ANNEXES</w:t>
      </w:r>
    </w:p>
    <w:p>
      <w:r>
        <w:t xml:space="preserve">Pour accéder aux annexes, </w:t>
      </w:r>
      <w:hyperlink r:id="rId15">
        <w:r>
          <w:rPr>
            <w:color w:val="0000FF"/>
            <w:u w:val="single"/>
          </w:rPr>
          <w:t>cliquez ici</w:t>
        </w:r>
      </w:hyperlink>
      <w:r>
        <w:t>.</w:t>
      </w:r>
    </w:p>
    <w:p>
      <w:r>
        <w:rPr>
          <w:rFonts w:ascii="Arial" w:hAnsi="Arial"/>
          <w:color w:val="767676"/>
          <w:sz w:val="18"/>
        </w:rPr>
        <w:t>Note : les données sont provisoires et susceptibles d’ajustements lors de la consolidation finale.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Rapport trimestriel - Bilan T1 2025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Direction des affaires juridiques - Rapport trimestriel T1 2025</w:t>
    </w:r>
    <w:r>
      <w:rPr>
        <w:noProof/>
      </w:rPr>
      <w:pict>
        <v:shapetype id="_x0000_t136" coordsize="21600,21600" o:spt="136" path="m@7,l@8,m@5,21600l@6,21600e">
          <v:formulas>
            <v:f eqn="sum #0 0 10800"/>
          </v:formulas>
          <v:path textpathok="t"/>
          <v:textpath on="t" fitshape="t"/>
          <o:lock v:ext="edit" text="t" shapetype="t"/>
        </v:shapetype>
        <v:shape id="WaterMark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ONFIDENTIEL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s://example.org/annexes-rapport-t1-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