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Évolution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/>
    <w:p>
      <w:r>
        <w:t>Objectifs du trimestre :</w:t>
      </w:r>
    </w:p>
    <w:p>
      <w:pPr>
        <w:pStyle w:val="ListBullet"/>
      </w:pPr>
      <w:r>
        <w:t>Augmenter le trafic de 10 %</w:t>
      </w:r>
    </w:p>
    <w:p>
      <w:pPr>
        <w:pStyle w:val="ListBullet"/>
      </w:pPr>
      <w:r>
        <w:t>Publier 3 articles par semaine</w:t>
      </w:r>
    </w:p>
    <w:p>
      <w:pPr>
        <w:pStyle w:val="ListBullet"/>
      </w:pPr>
      <w:r>
        <w:t>Réduire le taux de rebond sous 40 %</w:t>
      </w:r>
    </w:p>
    <w:p>
      <w:r>
        <w:t>Priorités pour le prochain trimestre :</w:t>
      </w:r>
    </w:p>
    <w:p>
      <w:pPr>
        <w:pStyle w:val="ListNumber"/>
      </w:pPr>
      <w:r>
        <w:t>Refonte de la page d'accueil</w:t>
      </w:r>
    </w:p>
    <w:p>
      <w:pPr>
        <w:pStyle w:val="ListNumber"/>
      </w:pPr>
      <w:r>
        <w:t>Mise en conformité accessibilité</w:t>
      </w:r>
    </w:p>
    <w:p>
      <w:pPr>
        <w:pStyle w:val="ListNumber"/>
      </w:pPr>
      <w:r>
        <w:t>Déploiement de la newsletter</w:t>
      </w:r>
    </w:p>
    <w:p/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 descr="Graphique d'évolution du trafic web T1 2025 : visiteurs uniques en hausse de 12 %, pages vues +11 %, taux de rebond en baisse de 4 points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Organigramme de la Direction des affaires juridiques (description ci-dessous)." title="Organigramme du serv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0"/>
        </w:rPr>
        <w:t>La Direction des affaires juridiques comprend 4 bureaux : le Bureau du droit public, le Bureau du droit social, le Bureau de la communication et le Bureau des affaires internationales. Chaque bureau est rattache directement a la direction.</w:t>
      </w:r>
    </w:p>
    <w:p/>
    <w:p>
      <w:pPr>
        <w:pStyle w:val="Heading2"/>
      </w:pPr>
      <w: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rPr>
          <w:rFonts w:ascii="Arial" w:hAnsi="Arial"/>
          <w:sz w:val="22"/>
          <w:lang w:val="en-US"/>
        </w:rPr>
        <w:t>The quarterly report is available upon request. Please contact the communication department for further details.</w:t>
      </w:r>
    </w:p>
    <w:p/>
    <w:p>
      <w:pPr>
        <w:pStyle w:val="Heading2"/>
      </w:pPr>
      <w:r>
        <w:t>Annexes</w:t>
      </w:r>
    </w:p>
    <w:p>
      <w:r>
        <w:rPr>
          <w:color w:val="0000FF"/>
          <w:u w:val="single"/>
        </w:rPr>
        <w:t>Consulter les annexes du rapport T1 2025 (PDF, 1,2 Mo)</w:t>
      </w:r>
    </w:p>
    <w:p>
      <w:r>
        <w:rPr>
          <w:rFonts w:ascii="Arial" w:hAnsi="Arial"/>
          <w:color w:val="595959"/>
          <w:sz w:val="18"/>
        </w:rPr>
        <w:t>Note : les données sont provisoires et susceptibles d'ajustements lors de la consolidation finale.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Direction des affaires juridiques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trimestriel – Bilan T1 2025</dc:title>
  <dc:subject>Bilan communication numérique T1 2025</dc:subject>
  <dc:creator>Sami Dupont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