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91"/>
          <w:sz w:val="32"/>
        </w:rP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r>
        <w:rPr>
          <w:rFonts w:ascii="Arial" w:hAnsi="Arial"/>
          <w:color w:val="FF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r>
        <w:rPr>
          <w:rFonts w:ascii="Arial" w:hAnsi="Arial"/>
          <w:b/>
          <w:color w:val="000091"/>
          <w:sz w:val="28"/>
        </w:rP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Indicateur</w:t>
            </w:r>
          </w:p>
        </w:tc>
        <w:tc>
          <w:tcPr>
            <w:tcW w:type="dxa" w:w="2160"/>
          </w:tcPr>
          <w:p>
            <w:r>
              <w:t>T4 2024</w:t>
            </w:r>
          </w:p>
        </w:tc>
        <w:tc>
          <w:tcPr>
            <w:tcW w:type="dxa" w:w="2160"/>
          </w:tcPr>
          <w:p>
            <w:r>
              <w:t>T1 2025</w:t>
            </w:r>
          </w:p>
        </w:tc>
        <w:tc>
          <w:tcPr>
            <w:tcW w:type="dxa" w:w="2160"/>
          </w:tcPr>
          <w:p>
            <w:r>
              <w:t>Évolution</w:t>
            </w:r>
          </w:p>
        </w:tc>
      </w:tr>
      <w:tr>
        <w:tc>
          <w:tcPr>
            <w:tcW w:type="dxa" w:w="2160"/>
          </w:tcPr>
          <w:p>
            <w:r>
              <w:t>Visiteurs uniques</w:t>
            </w:r>
          </w:p>
        </w:tc>
        <w:tc>
          <w:tcPr>
            <w:tcW w:type="dxa" w:w="2160"/>
          </w:tcPr>
          <w:p>
            <w:r>
              <w:t>45 200</w:t>
            </w:r>
          </w:p>
        </w:tc>
        <w:tc>
          <w:tcPr>
            <w:tcW w:type="dxa" w:w="2160"/>
          </w:tcPr>
          <w:p>
            <w:r>
              <w:t>50 600</w:t>
            </w:r>
          </w:p>
        </w:tc>
        <w:tc>
          <w:tcPr>
            <w:tcW w:type="dxa" w:w="2160"/>
          </w:tcPr>
          <w:p>
            <w:r>
              <w:t>+12 %</w:t>
            </w:r>
          </w:p>
        </w:tc>
      </w:tr>
      <w:tr>
        <w:tc>
          <w:tcPr>
            <w:tcW w:type="dxa" w:w="2160"/>
          </w:tcPr>
          <w:p>
            <w:r>
              <w:t>Pages vues</w:t>
            </w:r>
          </w:p>
        </w:tc>
        <w:tc>
          <w:tcPr>
            <w:tcW w:type="dxa" w:w="2160"/>
          </w:tcPr>
          <w:p>
            <w:r>
              <w:t>128 000</w:t>
            </w:r>
          </w:p>
        </w:tc>
        <w:tc>
          <w:tcPr>
            <w:tcW w:type="dxa" w:w="2160"/>
          </w:tcPr>
          <w:p>
            <w:r>
              <w:t>142 000</w:t>
            </w:r>
          </w:p>
        </w:tc>
        <w:tc>
          <w:tcPr>
            <w:tcW w:type="dxa" w:w="2160"/>
          </w:tcPr>
          <w:p>
            <w:r>
              <w:t>+11 %</w:t>
            </w:r>
          </w:p>
        </w:tc>
      </w:tr>
      <w:tr>
        <w:tc>
          <w:tcPr>
            <w:tcW w:type="dxa" w:w="2160"/>
          </w:tcPr>
          <w:p>
            <w:r>
              <w:t>Taux de rebond</w:t>
            </w:r>
          </w:p>
        </w:tc>
        <w:tc>
          <w:tcPr>
            <w:tcW w:type="dxa" w:w="2160"/>
          </w:tcPr>
          <w:p>
            <w:r>
              <w:t>42 %</w:t>
            </w:r>
          </w:p>
        </w:tc>
        <w:tc>
          <w:tcPr>
            <w:tcW w:type="dxa" w:w="2160"/>
          </w:tcPr>
          <w:p>
            <w:r>
              <w:t>38 %</w:t>
            </w:r>
          </w:p>
        </w:tc>
        <w:tc>
          <w:tcPr>
            <w:tcW w:type="dxa" w:w="2160"/>
          </w:tcPr>
          <w:p>
            <w:r>
              <w:t>-4 pts</w:t>
            </w:r>
          </w:p>
        </w:tc>
      </w:tr>
    </w:tbl>
    <w:p/>
    <w:p>
      <w:r>
        <w:t>Objectifs du trimestre :</w:t>
      </w:r>
    </w:p>
    <w:p>
      <w:r>
        <w:t>- Augmenter le trafic de 10 %</w:t>
      </w:r>
    </w:p>
    <w:p>
      <w:r>
        <w:t>- Publier 3 articles par semaine</w:t>
      </w:r>
    </w:p>
    <w:p>
      <w:r>
        <w:t>- Reduire le taux de rebond sous 40 %</w:t>
      </w:r>
    </w:p>
    <w:p>
      <w:r>
        <w:t>Priorites pour le prochain trimestre :</w:t>
      </w:r>
    </w:p>
    <w:p>
      <w:r>
        <w:t>1. Refonte de la page d'accueil</w:t>
      </w:r>
    </w:p>
    <w:p>
      <w:r>
        <w:t>2. Mise en conformite accessibilite</w:t>
      </w:r>
    </w:p>
    <w:p>
      <w:r>
        <w:t>3. Deploiement de la newsletter</w:t>
      </w:r>
    </w:p>
    <w:p/>
    <w:p>
      <w:r>
        <w:rPr>
          <w:rFonts w:ascii="Arial" w:hAnsi="Arial"/>
          <w:b/>
          <w:color w:val="000091"/>
          <w:sz w:val="24"/>
          <w:u w:val="single"/>
        </w:rP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8"/>
        </w:rPr>
        <w:t>Organisation du 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8"/>
        </w:rPr>
        <w:t>Contact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r>
        <w:t>The quarterly report is available upon request. Please contact the communication department for further details.</w:t>
      </w:r>
    </w:p>
    <w:p/>
    <w:p>
      <w:r>
        <w:rPr>
          <w:rFonts w:ascii="Arial" w:hAnsi="Arial"/>
          <w:b/>
          <w:color w:val="000091"/>
          <w:sz w:val="28"/>
        </w:rPr>
        <w:t>Annexes</w:t>
      </w:r>
    </w:p>
    <w:p>
      <w:r>
        <w:t xml:space="preserve">Pour accéder aux annexes, </w:t>
      </w:r>
      <w:r>
        <w:rPr>
          <w:color w:val="0000FF"/>
          <w:u w:val="single"/>
        </w:rPr>
        <w:t>cliquez ici</w:t>
      </w:r>
      <w:r>
        <w:t>.</w:t>
      </w:r>
    </w:p>
    <w:p>
      <w:r>
        <w:rPr>
          <w:rFonts w:ascii="Arial" w:hAnsi="Arial"/>
          <w:color w:val="767676"/>
          <w:sz w:val="18"/>
        </w:rPr>
        <w:t>Note : les données sont provisoires et susceptibles d’ajustements lors de la consolidation finale.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Direction des affaires juridiques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