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2"/>
        <w:numPr>
          <w:ilvl w:val="1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4"/>
        </w:rPr>
        <w:t>(Table des matières - mettre à jour avec F9)</w:t>
      </w:r>
      <w:r>
        <w:fldChar w:fldCharType="end"/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>
      <w:r>
        <w:rPr>
          <w:rFonts w:ascii="Arial" w:hAnsi="Arial"/>
          <w:b/>
          <w:color w:val="C00000"/>
          <w:sz w:val="24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pPr>
        <w:spacing w:after="240"/>
      </w:pPr>
      <w:r>
        <w:t>Espacement entre les paragraphes</w:t>
      </w:r>
    </w:p>
    <w:p>
      <w:pPr>
        <w:ind w:left="720"/>
      </w:pPr>
      <w:r>
        <w:t>Retrait du paragraphe aligné avec le contenu précédent.</w:t>
      </w:r>
    </w:p>
    <w:p>
      <w:r>
        <w:t>Ligne principale</w:t>
      </w:r>
    </w:p>
    <w:p>
      <w:r>
        <w:t>Suite sur un paragraphe distinct</w:t>
      </w:r>
    </w:p>
    <w:p>
      <w:pPr>
        <w:pageBreakBefore/>
      </w:pPr>
      <w:r>
        <w:t>Début de la page suivante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Colonne gauche : structure</w:t>
      </w:r>
    </w:p>
    <w:p>
      <w:r>
        <w:t>Colonne droite : navigation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 w:num="2"/>
          <w:docGrid w:linePitch="360"/>
        </w:sectPr>
      </w:pP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Contact par courriel." title="Contact par courri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4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r>
        <w:rPr>
          <w:rFonts w:ascii="Arial" w:hAnsi="Arial"/>
          <w:sz w:val="24"/>
        </w:rPr>
        <w:t>Avis important : les indicateurs du T2 2025 seront transmis avant le 15 septembre 2025.</w:t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3">
        <w:r>
          <w:rPr>
            <w:color w:val="0000FF"/>
            <w:u w:val="single"/>
          </w:rPr>
          <w:t>Consulter les annexes du rapport T1 2025 (PDF, 1,2 Mo, français)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r>
        <w:rPr>
          <w:rFonts w:ascii="Arial" w:hAnsi="Arial"/>
          <w:sz w:val="24"/>
        </w:rPr>
        <w:t>Document confidentiel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595959"/>
          <w:sz w:val="24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" name="Picture 4" descr="T4 2024 puis T1 2025 : accès directs, 18 200 puis 20 400 (+12 %) ; moteurs de recherche, 21 000 puis 23 400 (+11 %) ; sites référents, 6 000 puis 6 800 (+13 %)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Budget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45 000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4"/>
          <w:lang w:val="en-US"/>
        </w:rPr>
        <w:t>The quarterly report is available upon request. Please contact the communication department for further details.</w:t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rPr>
          <w:caps/>
        </w:rPr>
        <w:t>Annexes - accessibilité</w:t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Référentiel général d’amélioration de l’accessibilité (RGAA) structure le contrôle des documents numériques.</w:t>
      </w:r>
    </w:p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>Rapport trimestriel - Bilan T1 2025</w:t>
    </w:r>
    <w:r>
      <w:rPr>
        <w:rFonts w:ascii="Arial" w:hAnsi="Arial"/>
        <w:color w:val="000000"/>
        <w:sz w:val="24"/>
      </w:rPr>
      <w:t xml:space="preserve"> - </w:t>
    </w: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/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24"/>
      </w:rPr>
      <w:t>Direction des affaires juridiques - Rapport trimestriel T1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example.org/annexes-rapport-t1-2025.pdf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- Bilan T1 2025</dc:title>
  <dc:subject>Bilan communication numérique T1 2025</dc:subject>
  <dc:creator>Sami Dupont</dc:creator>
  <cp:keywords>accessibilité, document bureautique, Word, rapport trimestriel, communication numérique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