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2"/>
        </w:rPr>
        <w:t>Document confidentiel</w:t>
      </w:r>
    </w:p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pPr>
        <w:pStyle w:val="Heading2"/>
      </w:pPr>
      <w:r>
        <w:t>Sommaire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808080"/>
          <w:sz w:val="20"/>
        </w:rPr>
        <w:t>(Table des matières - mettre à jour avec F9)</w:t>
      </w:r>
      <w:r>
        <w:fldChar w:fldCharType="end"/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Évolution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/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/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 descr="Graphique d'évolution du trafic web T1 2025 : visiteurs uniques en hausse de 12 %, pages vues +11 %, taux de rebond en baisse de 4 points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0"/>
        </w:rPr>
        <w:t>La Direction des affaires juridiques comprend 4 bureaux : le Bureau du droit public, le Bureau du droit social, le Bureau de la communication et le Bureau des affaires internationales. Chaque bureau est rattache directement a la direction.</w:t>
      </w:r>
    </w:p>
    <w:p/>
    <w:p>
      <w:pPr>
        <w:pStyle w:val="Heading2"/>
      </w:pPr>
      <w: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rPr>
          <w:rFonts w:ascii="Arial" w:hAnsi="Arial"/>
          <w:sz w:val="22"/>
          <w:lang w:val="en-US"/>
        </w:rPr>
        <w:t>The quarterly report is available upon request. Please contact the communication department for further details.</w:t>
      </w:r>
    </w:p>
    <w:p>
      <w:r>
        <w:rPr>
          <w:rFonts w:ascii="Arial" w:hAnsi="Arial"/>
          <w:b/>
          <w:sz w:val="22"/>
        </w:rPr>
        <w:t>Avis important : les indicateurs du T2 2025 seront transmis avant le 15 septembre 2025.</w:t>
      </w:r>
    </w:p>
    <w:p>
      <w:pPr>
        <w:pStyle w:val="Heading3"/>
      </w:pPr>
      <w:r>
        <w:t>Répartition par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val="true"/>
        </w:trP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/>
    <w:p>
      <w:pPr>
        <w:pStyle w:val="Heading2"/>
      </w:pPr>
      <w:r>
        <w:rPr>
          <w:caps/>
        </w:rPr>
        <w:t>Annexes</w:t>
      </w:r>
    </w:p>
    <w:p>
      <w:r>
        <w:rPr>
          <w:color w:val="0000FF"/>
          <w:u w:val="single"/>
        </w:rPr>
        <w:t>Consulter les annexes du rapport T1 2025 (PDF, 1,2 Mo)</w:t>
      </w:r>
    </w:p>
    <w:p>
      <w:r>
        <w:rPr>
          <w:rFonts w:ascii="Arial" w:hAnsi="Arial"/>
          <w:color w:val="595959"/>
          <w:sz w:val="18"/>
        </w:rPr>
        <w:t>Note : les données sont provisoires et susceptibles d'ajustements lors de la consolidation finale.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Direction des affaires juridiques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left"/>
    </w:pPr>
    <w:rPr>
      <w:rFonts w:ascii="Arial" w:hAnsi="Arial"/>
      <w:sz w:val="22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trimestriel – Bilan T1 2025</dc:title>
  <dc:subject>Bilan communication numérique T1 2025</dc:subject>
  <dc:creator>Sami Dupont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