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top w:val="single" w:sz="6" w:space="4" w:color="000091"/>
          <w:left w:val="single" w:sz="6" w:space="4" w:color="000091"/>
          <w:bottom w:val="single" w:sz="6" w:space="4" w:color="000091"/>
          <w:right w:val="single" w:sz="6" w:space="4" w:color="000091"/>
        </w:pBdr>
        <w:shd w:val="clear" w:color="auto" w:fill="000091"/>
        <w:spacing w:lineRule="auto" w:line="240" w:before="0" w:after="120"/>
        <w:jc w:val="center"/>
        <w:rPr/>
      </w:pPr>
      <w:r>
        <w:rPr>
          <w:rFonts w:eastAsia="Marianne" w:cs="Marianne"/>
          <w:b/>
          <w:color w:val="FFFFFF"/>
          <w:sz w:val="18"/>
          <w:szCs w:val="21"/>
          <w:lang w:val="fr-FR" w:eastAsia="fr-FR"/>
        </w:rPr>
        <w:t>Déroulé pédagogique : L'accessibilité numérique pour la bureautique et le web</w:t>
      </w:r>
    </w:p>
    <w:tbl>
      <w:tblPr>
        <w:tblStyle w:val="Grilledutableau"/>
        <w:tblW w:w="15540" w:type="dxa"/>
        <w:jc w:val="center"/>
        <w:tblInd w:w="0" w:type="dxa"/>
        <w:tblLayout w:type="fixed"/>
        <w:tblCellMar>
          <w:top w:w="90" w:type="dxa"/>
          <w:start w:w="120" w:type="dxa"/>
          <w:bottom w:w="90" w:type="dxa"/>
          <w:end w:w="120" w:type="dxa"/>
        </w:tblCellMar>
        <w:tblLook w:noHBand="0" w:lastColumn="0" w:firstColumn="1" w:lastRow="0" w:firstRow="1" w:noVBand="1" w:val="04a0"/>
      </w:tblPr>
      <w:tblGrid>
        <w:gridCol w:w="1700"/>
        <w:gridCol w:w="6200"/>
        <w:gridCol w:w="1700"/>
        <w:gridCol w:w="5940"/>
      </w:tblGrid>
      <w:tr>
        <w:trPr>
          <w:tblHeader w:val="true"/>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Action n°</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102846</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Durée</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1 jour</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Libellé</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L'accessibilité numérique pour la bureautique et le web</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Niveau</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Initiation</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Public</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Communicants de toutes les directions des ministères et producteurs de contenu numérique.</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Prérequis</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Aucun prérequis obligatoire. Parcours Mentor « L'essentiel de l'accessibilité de la communication de l'État » recommandé.</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Objectifs de la formation</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Expliquer les enjeux de l'accessibilité numérique et son cadre légal dans le contexte de la communication. Identifier et évaluer les principales erreurs d'accessibilité. Rendre des contenus numériques accessibles.</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Compétences ciblées</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Évaluer la conformité d'un contenu numérique aux exigences légales d'accessibilité. Utiliser efficacement les outils d'évaluation de l'accessibilité numérique.</w:t>
            </w:r>
          </w:p>
          <w:p>
            <w:pPr>
              <w:pStyle w:val="Normal"/>
              <w:widowControl/>
              <w:spacing w:before="0" w:after="0"/>
              <w:jc w:val="start"/>
              <w:rPr>
                <w:kern w:val="0"/>
                <w:lang w:bidi="ar-SA"/>
              </w:rPr>
            </w:pPr>
            <w:r>
              <w:rPr>
                <w:kern w:val="0"/>
                <w:sz w:val="18"/>
                <w:lang w:bidi="ar-SA"/>
              </w:rPr>
              <w:t>Créer et adapter des contenus numériques pour garantir leur accessibilité pour divers supports.</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Organisation</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Formation en présentiel, salle équipée d’ordinateurs. Alternance d’apports, démonstrations, exercices guidés et ateliers en binômes.</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Supports principaux</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principal, documents Word du TP, site d’exercice Easy Checks, grille XLSX et exemples de publications sociales.</w:t>
            </w:r>
          </w:p>
        </w:tc>
      </w:tr>
    </w:tbl>
    <w:p>
      <w:pPr>
        <w:pStyle w:val="Heading2"/>
        <w:pBdr>
          <w:top w:val="single" w:sz="6" w:space="4" w:color="000091"/>
          <w:left w:val="single" w:sz="6" w:space="4" w:color="000091"/>
          <w:bottom w:val="single" w:sz="6" w:space="4" w:color="000091"/>
          <w:right w:val="single" w:sz="6" w:space="4" w:color="000091"/>
        </w:pBdr>
        <w:shd w:val="clear" w:color="auto" w:fill="000091"/>
        <w:spacing w:lineRule="auto" w:line="240" w:before="180" w:after="120"/>
        <w:jc w:val="center"/>
        <w:rPr/>
      </w:pPr>
      <w:r>
        <w:rPr>
          <w:rFonts w:eastAsia="Marianne" w:cs="Marianne"/>
          <w:b/>
          <w:color w:val="FFFFFF"/>
          <w:sz w:val="18"/>
          <w:szCs w:val="21"/>
          <w:lang w:val="fr-FR" w:eastAsia="fr-FR"/>
        </w:rPr>
        <w:t>JOUR 1 - MATIN</w:t>
      </w:r>
    </w:p>
    <w:tbl>
      <w:tblPr>
        <w:tblStyle w:val="TableauGrille1Clair-Accentuation1"/>
        <w:tblW w:w="15540" w:type="dxa"/>
        <w:jc w:val="center"/>
        <w:tblInd w:w="0" w:type="dxa"/>
        <w:tblLayout w:type="fixed"/>
        <w:tblCellMar>
          <w:top w:w="80" w:type="dxa"/>
          <w:start w:w="90" w:type="dxa"/>
          <w:bottom w:w="80" w:type="dxa"/>
          <w:end w:w="90" w:type="dxa"/>
        </w:tblCellMar>
        <w:tblLook w:noHBand="0" w:lastColumn="0" w:firstColumn="1" w:lastRow="0" w:firstRow="1" w:noVBand="1" w:val="04a0"/>
      </w:tblPr>
      <w:tblGrid>
        <w:gridCol w:w="1650"/>
        <w:gridCol w:w="2250"/>
        <w:gridCol w:w="3150"/>
        <w:gridCol w:w="2600"/>
        <w:gridCol w:w="2999"/>
        <w:gridCol w:w="2891"/>
      </w:tblGrid>
      <w:tr>
        <w:trPr>
          <w:tblHeader w:val="true"/>
        </w:trPr>
        <w:tc>
          <w:tcPr>
            <w:tcW w:w="16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Durée / heure</w:t>
            </w:r>
          </w:p>
        </w:tc>
        <w:tc>
          <w:tcPr>
            <w:tcW w:w="22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Séquences</w:t>
            </w:r>
          </w:p>
        </w:tc>
        <w:tc>
          <w:tcPr>
            <w:tcW w:w="31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Objectifs pédagogiques</w:t>
            </w:r>
          </w:p>
        </w:tc>
        <w:tc>
          <w:tcPr>
            <w:tcW w:w="260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Thèmes clés</w:t>
            </w:r>
          </w:p>
        </w:tc>
        <w:tc>
          <w:tcPr>
            <w:tcW w:w="2999"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Modalités pédagogiques</w:t>
            </w:r>
          </w:p>
        </w:tc>
        <w:tc>
          <w:tcPr>
            <w:tcW w:w="2891"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Outils, supports, matériels</w:t>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9h15 - 9h35</w:t>
              <w:br/>
              <w:t>20 minutes</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Accueil, cadrage et constitution des binômes</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Présenter le cadre de la journée, recueillir les attentes et installer une dynamique de participation.</w:t>
              <w:br/>
              <w:t>[Bloom : se souvenir]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Objectifs de la formation, programme, présentation des intervenants, tour de table court, regroupement par binômes, icebreaker : ensemble faisons tomber les préjugés (6 idées reçues vrai/faux).</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Accueil, tour de table court, regroupement par binômes, clarification des règles de travail, activité brise-glace interactive (idées reçues vrai/faux).</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Support PPTX slides 1 à 14, salle équipée d'ordinateurs.</w:t>
            </w:r>
          </w:p>
        </w:tc>
      </w:tr>
      <w:tr>
        <w:trPr/>
        <w:tc>
          <w:tcPr>
            <w:tcW w:w="16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b/>
                <w:bCs/>
                <w:kern w:val="0"/>
                <w:lang w:bidi="ar-SA"/>
              </w:rPr>
            </w:pPr>
            <w:r>
              <w:rPr>
                <w:b/>
                <w:bCs/>
                <w:kern w:val="0"/>
                <w:sz w:val="18"/>
                <w:lang w:bidi="ar-SA"/>
              </w:rPr>
              <w:t>9h35 - 10h20</w:t>
              <w:br/>
              <w:t>45 minutes</w:t>
            </w:r>
          </w:p>
        </w:tc>
        <w:tc>
          <w:tcPr>
            <w:tcW w:w="22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Module 1 - Comprendre l'accessibilité numérique et son cadre légal</w:t>
            </w:r>
          </w:p>
        </w:tc>
        <w:tc>
          <w:tcPr>
            <w:tcW w:w="31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Expliquer les enjeux de l'accessibilité numérique. Définir les 4 principes WCAG. Identifier les 4 familles de déficiences et leurs situations de handicap. Expliquer le cadre légal (RGAA, directive européenne, déclaration d'accessibilité). Formuler les règles transversales de communication accessible (FALC, contraste, QR).</w:t>
              <w:br/>
              <w:t>[Bloom : comprendre, analyser]</w:t>
            </w:r>
          </w:p>
        </w:tc>
        <w:tc>
          <w:tcPr>
            <w:tcW w:w="260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Définition et principes WCAG. 6 personas et matrice déficiences/besoins. Fiches solutions par type de déficience. Handicap, validisme, temporalité. Cadre légal de 2005 à aujourd'hui, cadre européen. RGAA 13 thèmes et 3 niveaux. Simulateur Obligally, déclaration d'accessibilité, obligations légales. Pourquoi agir, accessibiliser sa communication. Outils OS, règles transversales, FALC et langage clair, méthode FALC en 5 étapes, exemple DIA, accessibilité dès la conception. Points clés du module.</w:t>
            </w:r>
          </w:p>
        </w:tc>
        <w:tc>
          <w:tcPr>
            <w:tcW w:w="2999"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Exposé interactif, présentations de personas, lecture commentée d'une déclaration d'accessibilité, échanges guidés, démonstration du simulateur Obligally.</w:t>
            </w:r>
          </w:p>
        </w:tc>
        <w:tc>
          <w:tcPr>
            <w:tcW w:w="2891"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Support PPTX slides 15 à 53, exemples de déclarations d'accessibilité, simulateur Obligally en ligne, guide Accessibiliser sa communication.</w:t>
            </w:r>
          </w:p>
        </w:tc>
      </w:tr>
      <w:tr>
        <w:trPr/>
        <w:tc>
          <w:tcPr>
            <w:tcW w:w="16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b/>
                <w:bCs/>
                <w:kern w:val="0"/>
                <w:lang w:bidi="ar-SA"/>
              </w:rPr>
            </w:pPr>
            <w:r>
              <w:rPr>
                <w:b/>
                <w:bCs/>
                <w:kern w:val="0"/>
                <w:sz w:val="18"/>
                <w:lang w:bidi="ar-SA"/>
              </w:rPr>
              <w:t>10h20 - 10h30</w:t>
              <w:br/>
              <w:t>10 minutes</w:t>
            </w:r>
          </w:p>
        </w:tc>
        <w:tc>
          <w:tcPr>
            <w:tcW w:w="22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sz w:val="18"/>
                <w:lang w:bidi="ar-SA"/>
              </w:rPr>
              <w:t>Pause du matin</w:t>
            </w:r>
          </w:p>
        </w:tc>
        <w:tc>
          <w:tcPr>
            <w:tcW w:w="31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60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999"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891"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r>
      <w:tr>
        <w:trPr/>
        <w:tc>
          <w:tcPr>
            <w:tcW w:w="16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b/>
                <w:bCs/>
                <w:kern w:val="0"/>
                <w:lang w:bidi="ar-SA"/>
              </w:rPr>
            </w:pPr>
            <w:r>
              <w:rPr>
                <w:b/>
                <w:bCs/>
                <w:kern w:val="0"/>
                <w:sz w:val="18"/>
                <w:lang w:bidi="ar-SA"/>
              </w:rPr>
              <w:t>10h30 - 12h00</w:t>
              <w:br/>
              <w:t>1 h 30</w:t>
            </w:r>
          </w:p>
        </w:tc>
        <w:tc>
          <w:tcPr>
            <w:tcW w:w="22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Module 2 - Créer des documents bureautiques accessibles</w:t>
            </w:r>
          </w:p>
        </w:tc>
        <w:tc>
          <w:tcPr>
            <w:tcW w:w="31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Identifier et corriger les obstacles d’accessibilité dans le guide Word de Sami. Appliquer une méthode par stations, vérifier le DOCX, exporter un PDF balisé et contrôler le résultat.</w:t>
              <w:br/>
              <w:t>[Bloom : appliquer, évaluer]</w:t>
            </w:r>
          </w:p>
        </w:tc>
        <w:tc>
          <w:tcPr>
            <w:tcW w:w="260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Démonstration lecteur d’écran et quiz diagnostic A/B. TP guidé en cinq stations : structurer et naviguer ; contenus et liens ; couleurs, graphiques et tableaux ; langues et lisibilité ; finaliser et publier. Checklist progressive, vérificateur Word, export PDF balisé, contrôle avec PAC ou Acrobat Pro et vérification humaine.</w:t>
            </w:r>
          </w:p>
        </w:tc>
        <w:tc>
          <w:tcPr>
            <w:tcW w:w="2999"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Démonstration lecteur d’écran, quiz diagnostic, TP guidé sur le document de Sami, travail en binômes, checklist renseignée après chaque station, synthèses techniques au fil de l’eau et remise finale du corrigé de référence.</w:t>
            </w:r>
          </w:p>
        </w:tc>
        <w:tc>
          <w:tcPr>
            <w:tcW w:w="2891"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Support PPTX slides 54 à 79, un DOCX de départ au choix (avec pistes ou inaccessible), checklist DOCX ou papier, cartes WCAG, fiches mémo Word et LibreOffice Writer, Microsoft Word, LibreOffice Writer, vérificateur Word, PAC ou Acrobat Pro et casque audio.</w:t>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12h00 - 12h15</w:t>
              <w:br/>
              <w:t>15 minutes</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Synthèse du matin</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Consolider les réflexes immédiatement réutilisables avant de passer aux contrôles web.</w:t>
              <w:br/>
              <w:t>[Bloom : évaluer]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Acquis des parties I et II, chaîne de preuve, priorisation des premiers gestes et questions ouvertes.</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Synthèse collective, questions finales et transition vers les contrôles web.</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slide 80, checklist renseignée, DOCX corrigé et PDF contrôlé.</w:t>
            </w:r>
          </w:p>
        </w:tc>
      </w:tr>
      <w:tr>
        <w:trPr/>
        <w:tc>
          <w:tcPr>
            <w:tcW w:w="16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b/>
                <w:bCs/>
                <w:kern w:val="0"/>
                <w:lang w:bidi="ar-SA"/>
              </w:rPr>
            </w:pPr>
            <w:r>
              <w:rPr>
                <w:b/>
                <w:bCs/>
                <w:kern w:val="0"/>
                <w:sz w:val="18"/>
                <w:lang w:bidi="ar-SA"/>
              </w:rPr>
              <w:t>12h15 - 13h45</w:t>
              <w:br/>
              <w:t>1 h 30</w:t>
            </w:r>
          </w:p>
        </w:tc>
        <w:tc>
          <w:tcPr>
            <w:tcW w:w="22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sz w:val="18"/>
                <w:lang w:bidi="ar-SA"/>
              </w:rPr>
              <w:t>Pause déjeuner</w:t>
            </w:r>
          </w:p>
        </w:tc>
        <w:tc>
          <w:tcPr>
            <w:tcW w:w="31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60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999"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891"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r>
    </w:tbl>
    <w:p>
      <w:pPr>
        <w:pStyle w:val="Heading2"/>
        <w:pBdr>
          <w:top w:val="single" w:sz="6" w:space="4" w:color="000091"/>
          <w:left w:val="single" w:sz="6" w:space="4" w:color="000091"/>
          <w:bottom w:val="single" w:sz="6" w:space="4" w:color="000091"/>
          <w:right w:val="single" w:sz="6" w:space="4" w:color="000091"/>
        </w:pBdr>
        <w:shd w:val="clear" w:color="auto" w:fill="000091"/>
        <w:spacing w:lineRule="auto" w:line="240" w:before="180" w:after="120"/>
        <w:jc w:val="center"/>
        <w:rPr/>
      </w:pPr>
      <w:r>
        <w:rPr>
          <w:rFonts w:eastAsia="Marianne" w:cs="Marianne"/>
          <w:b/>
          <w:color w:val="FFFFFF"/>
          <w:sz w:val="18"/>
          <w:szCs w:val="21"/>
          <w:lang w:val="fr-FR" w:eastAsia="fr-FR"/>
        </w:rPr>
        <w:t>JOUR 1 - APRÈS-MIDI</w:t>
      </w:r>
    </w:p>
    <w:tbl>
      <w:tblPr>
        <w:tblStyle w:val="TableauGrille1Clair-Accentuation1"/>
        <w:tblW w:w="15540" w:type="dxa"/>
        <w:jc w:val="center"/>
        <w:tblInd w:w="0" w:type="dxa"/>
        <w:tblLayout w:type="fixed"/>
        <w:tblCellMar>
          <w:top w:w="80" w:type="dxa"/>
          <w:start w:w="90" w:type="dxa"/>
          <w:bottom w:w="80" w:type="dxa"/>
          <w:end w:w="90" w:type="dxa"/>
        </w:tblCellMar>
        <w:tblLook w:noHBand="0" w:lastColumn="0" w:firstColumn="1" w:lastRow="0" w:firstRow="1" w:noVBand="1" w:val="04a0"/>
      </w:tblPr>
      <w:tblGrid>
        <w:gridCol w:w="1650"/>
        <w:gridCol w:w="2250"/>
        <w:gridCol w:w="3150"/>
        <w:gridCol w:w="2600"/>
        <w:gridCol w:w="2999"/>
        <w:gridCol w:w="2891"/>
      </w:tblGrid>
      <w:tr>
        <w:trPr>
          <w:tblHeader w:val="true"/>
        </w:trPr>
        <w:tc>
          <w:tcPr>
            <w:tcW w:w="16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Durée / heure</w:t>
            </w:r>
          </w:p>
        </w:tc>
        <w:tc>
          <w:tcPr>
            <w:tcW w:w="22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Séquences</w:t>
            </w:r>
          </w:p>
        </w:tc>
        <w:tc>
          <w:tcPr>
            <w:tcW w:w="31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Objectifs pédagogiques</w:t>
            </w:r>
          </w:p>
        </w:tc>
        <w:tc>
          <w:tcPr>
            <w:tcW w:w="260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Thèmes clés</w:t>
            </w:r>
          </w:p>
        </w:tc>
        <w:tc>
          <w:tcPr>
            <w:tcW w:w="2999"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Modalités pédagogiques</w:t>
            </w:r>
          </w:p>
        </w:tc>
        <w:tc>
          <w:tcPr>
            <w:tcW w:w="2891"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Outils, supports, matériels</w:t>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13h45 - 15h05</w:t>
              <w:br/>
              <w:t>1 h 20</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Module 3 - Pratiquer les évaluations rapides d'accessibilité web (Easy Checks)</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Appliquer 13 points de contrôle rapides sur un site web. Repérer une non-conformité observable et formaliser un constat exploitable dans une grille d'audit.</w:t>
              <w:br/>
              <w:t>[Bloom : appliquer, analyser, évaluer]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WebAIM Million 2026 et erreurs fréquentes. 13 checks : texte alternatif (types, rédaction, exemples), titre de page, hiérarchie de titres, contraste (principe et outils), lien d'évitement, navigation clavier (5 touches, 3 signaux), langue, zoom 200 %, sous-titres (principe et auto), transcriptions, audiodescription, bonus médias (règle des 2 accès, VSME). Étiquettes de formulaire (placeholder, groupes, champs obligatoires). Grille de remontée. Bonus liens et PDF. Mission audit en binôme 30 min.</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Démonstrations successives, manipulations guidées, audit en binôme sur le site d'exercice Easy Checks et restitution orale.</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slides 81 à 111, site d’exercice Easy Checks, grille XLSX, navigateur Firefox ou Edge, outils de contraste et extensions HeadingsMap et Web Developer.</w:t>
            </w:r>
          </w:p>
        </w:tc>
      </w:tr>
      <w:tr>
        <w:trPr/>
        <w:tc>
          <w:tcPr>
            <w:tcW w:w="16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b/>
                <w:bCs/>
                <w:kern w:val="0"/>
                <w:lang w:bidi="ar-SA"/>
              </w:rPr>
            </w:pPr>
            <w:r>
              <w:rPr>
                <w:b/>
                <w:bCs/>
                <w:kern w:val="0"/>
                <w:sz w:val="18"/>
                <w:lang w:bidi="ar-SA"/>
              </w:rPr>
              <w:t>15h05 - 15h20</w:t>
              <w:br/>
              <w:t>15 minutes</w:t>
            </w:r>
          </w:p>
        </w:tc>
        <w:tc>
          <w:tcPr>
            <w:tcW w:w="22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sz w:val="18"/>
                <w:lang w:bidi="ar-SA"/>
              </w:rPr>
              <w:t>Pause de l'après-midi</w:t>
            </w:r>
          </w:p>
        </w:tc>
        <w:tc>
          <w:tcPr>
            <w:tcW w:w="31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60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999"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891"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15h20 - 16h20</w:t>
              <w:br/>
              <w:t>60 minutes</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Module 4 - Améliorer l'accessibilité numérique des publications sur les réseaux sociaux</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Identifier les obstacles propres aux réseaux sociaux. Adapter une publication pour la rendre accessible (textes alternatifs, émojis, hashtags, caractères Unicode). Appliquer une checklist de publication.</w:t>
              <w:br/>
              <w:t>[Bloom : appliquer, créer]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Enjeux de l'accessibilité sur les réseaux. Analyse d'un tweet OMS (quiz, révélation, corrigé). Démonstration NVDA. 4 réflexes. Texte alternatif (pourquoi, comment rédiger, où sur chaque plateforme). Émojis (3 règles, avant/après). Hashtags CamelCase. Caractères Unicode et faux gras. Communication inclusive (représentations, cohérence). Langage inclusif. Exercice checklist en binôme. Checklist 3 volets (anticiper, rédiger, publier). Quiz clôture vrai/faux.</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Analyse d'exemples, démonstration lecteur d'écran NVDA, exercice en binôme, correction collective et quiz vrai/faux.</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slides 112 à 132, exemples de publications et checklist réseaux sociaux en trois volets.</w:t>
            </w:r>
          </w:p>
        </w:tc>
      </w:tr>
      <w:tr>
        <w:trPr/>
        <w:tc>
          <w:tcPr>
            <w:tcW w:w="16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b/>
                <w:bCs/>
                <w:kern w:val="0"/>
                <w:lang w:bidi="ar-SA"/>
              </w:rPr>
            </w:pPr>
            <w:r>
              <w:rPr>
                <w:b/>
                <w:bCs/>
                <w:kern w:val="0"/>
                <w:lang w:bidi="ar-SA"/>
              </w:rPr>
              <w:t>16h20 - 16h45</w:t>
              <w:br/>
              <w:t>0 h 25</w:t>
            </w:r>
          </w:p>
        </w:tc>
        <w:tc>
          <w:tcPr>
            <w:tcW w:w="22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Clôture, bilan et mise en action</w:t>
            </w:r>
          </w:p>
        </w:tc>
        <w:tc>
          <w:tcPr>
            <w:tcW w:w="31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Vérifier les acquis. Identifier les gestes à appliquer dès le retour en poste. Recueillir l'évaluation de la formation.</w:t>
              <w:br/>
              <w:t>[Bloom : évaluer, créer]</w:t>
            </w:r>
          </w:p>
        </w:tc>
        <w:tc>
          <w:tcPr>
            <w:tcW w:w="260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Plan d'action individuel (que faites-vous demain matin ?), questions finales, évaluation à chaud.</w:t>
            </w:r>
          </w:p>
        </w:tc>
        <w:tc>
          <w:tcPr>
            <w:tcW w:w="2999"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Tour de table, engagement individuel, questionnaire de satisfaction et consignes de ressources complémentaires.</w:t>
            </w:r>
          </w:p>
        </w:tc>
        <w:tc>
          <w:tcPr>
            <w:tcW w:w="2891"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Support PPTX slide 133, questionnaire d’évaluation et ressources partagées.</w:t>
            </w:r>
          </w:p>
        </w:tc>
      </w:tr>
    </w:tbl>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648" w:right="648" w:gutter="0" w:header="259" w:top="1555" w:footer="360" w:bottom="79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arianne">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844595415"/>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0</w:t>
                              </w:r>
                              <w:r>
                                <w:rPr>
                                  <w:rStyle w:val="PageNumber"/>
                                  <w:rFonts w:eastAsia="Marianne" w:cs="Marianne"/>
                                  <w:sz w:val="21"/>
                                  <w:szCs w:val="21"/>
                                  <w:lang w:val="fr-FR" w:eastAsia="fr-F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844595415"/>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0</w:t>
                        </w:r>
                        <w:r>
                          <w:rPr>
                            <w:rStyle w:val="PageNumber"/>
                            <w:rFonts w:eastAsia="Marianne" w:cs="Marianne"/>
                            <w:sz w:val="21"/>
                            <w:szCs w:val="21"/>
                            <w:lang w:val="fr-FR" w:eastAsia="fr-F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pPr>
    <w:r>
      <w:rPr>
        <w:rFonts w:eastAsia="Marianne" w:cs="Marianne"/>
        <w:color w:val="000000"/>
        <w:sz w:val="21"/>
        <w:szCs w:val="21"/>
        <w:lang w:val="fr-FR" w:eastAsia="fr-FR"/>
      </w:rPr>
      <w:t>P-F06_déroulé_pédagogique-v6</w:t>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67310" cy="153670"/>
              <wp:effectExtent l="0" t="0" r="0" b="0"/>
              <wp:wrapNone/>
              <wp:docPr id="3" name="Frame2"/>
              <a:graphic xmlns:a="http://schemas.openxmlformats.org/drawingml/2006/main">
                <a:graphicData uri="http://schemas.microsoft.com/office/word/2010/wordprocessingShape">
                  <wps:wsp>
                    <wps:cNvSpPr txBox="1"/>
                    <wps:spPr>
                      <a:xfrm>
                        <a:off x="0" y="0"/>
                        <a:ext cx="67310" cy="153670"/>
                      </a:xfrm>
                      <a:prstGeom prst="rect"/>
                      <a:solidFill>
                        <a:srgbClr val="FFFFFF">
                          <a:alpha val="0"/>
                        </a:srgbClr>
                      </a:solidFill>
                    </wps:spPr>
                    <wps:txbx>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3</w:t>
                              </w:r>
                              <w:r>
                                <w:rPr>
                                  <w:rStyle w:val="PageNumber"/>
                                  <w:rFonts w:eastAsia="Marianne" w:cs="Marianne"/>
                                  <w:sz w:val="21"/>
                                  <w:szCs w:val="21"/>
                                  <w:lang w:val="fr-FR" w:eastAsia="fr-FR"/>
                                </w:rPr>
                                <w:fldChar w:fldCharType="end"/>
                              </w:r>
                            </w:p>
                          </w:sdtContent>
                        </w:sdt>
                      </w:txbxContent>
                    </wps:txbx>
                    <wps:bodyPr anchor="t" lIns="0" tIns="0" rIns="0" bIns="0">
                      <a:spAutoFit/>
                    </wps:bodyPr>
                  </wps:wsp>
                </a:graphicData>
              </a:graphic>
            </wp:anchor>
          </w:drawing>
        </mc:Choice>
        <mc:Fallback>
          <w:pict>
            <v:rect fillcolor="#FFFFFF" style="position:absolute;rotation:-0;width:5.3pt;height:12.1pt;mso-wrap-distance-left:0pt;mso-wrap-distance-right:0pt;mso-wrap-distance-top:0pt;mso-wrap-distance-bottom:0pt;margin-top:0.05pt;mso-position-vertical-relative:text;margin-left:385.9pt;mso-position-horizontal:center;mso-position-horizontal-relative:margin">
              <v:fill opacity="0f"/>
              <v:textbox inset="0in,0in,0in,0in">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3</w:t>
                        </w:r>
                        <w:r>
                          <w:rPr>
                            <w:rStyle w:val="PageNumber"/>
                            <w:rFonts w:eastAsia="Marianne" w:cs="Marianne"/>
                            <w:sz w:val="21"/>
                            <w:szCs w:val="21"/>
                            <w:lang w:val="fr-FR" w:eastAsia="fr-F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pPr>
    <w:r>
      <w:rPr>
        <w:rFonts w:eastAsia="Marianne" w:cs="Marianne"/>
        <w:color w:val="000000"/>
        <w:sz w:val="21"/>
        <w:szCs w:val="21"/>
        <w:lang w:val="fr-FR" w:eastAsia="fr-FR"/>
      </w:rPr>
      <w:t>P-F06_déroulé_pédagogique-v6</w:t>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67310" cy="153670"/>
              <wp:effectExtent l="0" t="0" r="0" b="0"/>
              <wp:wrapNone/>
              <wp:docPr id="4" name="Frame5"/>
              <a:graphic xmlns:a="http://schemas.openxmlformats.org/drawingml/2006/main">
                <a:graphicData uri="http://schemas.microsoft.com/office/word/2010/wordprocessingShape">
                  <wps:wsp>
                    <wps:cNvSpPr txBox="1"/>
                    <wps:spPr>
                      <a:xfrm>
                        <a:off x="0" y="0"/>
                        <a:ext cx="67310" cy="153670"/>
                      </a:xfrm>
                      <a:prstGeom prst="rect"/>
                      <a:solidFill>
                        <a:srgbClr val="FFFFFF">
                          <a:alpha val="0"/>
                        </a:srgbClr>
                      </a:solidFill>
                    </wps:spPr>
                    <wps:txbx>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1</w:t>
                              </w:r>
                              <w:r>
                                <w:rPr>
                                  <w:rStyle w:val="PageNumber"/>
                                  <w:rFonts w:eastAsia="Marianne" w:cs="Marianne"/>
                                  <w:sz w:val="21"/>
                                  <w:szCs w:val="21"/>
                                  <w:lang w:val="fr-FR" w:eastAsia="fr-FR"/>
                                </w:rPr>
                                <w:fldChar w:fldCharType="end"/>
                              </w:r>
                            </w:p>
                          </w:sdtContent>
                        </w:sdt>
                      </w:txbxContent>
                    </wps:txbx>
                    <wps:bodyPr anchor="t" lIns="0" tIns="0" rIns="0" bIns="0">
                      <a:spAutoFit/>
                    </wps:bodyPr>
                  </wps:wsp>
                </a:graphicData>
              </a:graphic>
            </wp:anchor>
          </w:drawing>
        </mc:Choice>
        <mc:Fallback>
          <w:pict>
            <v:rect fillcolor="#FFFFFF" style="position:absolute;rotation:-0;width:5.3pt;height:12.1pt;mso-wrap-distance-left:0pt;mso-wrap-distance-right:0pt;mso-wrap-distance-top:0pt;mso-wrap-distance-bottom:0pt;margin-top:0.05pt;mso-position-vertical-relative:text;margin-left:385.9pt;mso-position-horizontal:center;mso-position-horizontal-relative:margin">
              <v:fill opacity="0f"/>
              <v:textbox inset="0in,0in,0in,0in">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1</w:t>
                        </w:r>
                        <w:r>
                          <w:rPr>
                            <w:rStyle w:val="PageNumber"/>
                            <w:rFonts w:eastAsia="Marianne" w:cs="Marianne"/>
                            <w:sz w:val="21"/>
                            <w:szCs w:val="21"/>
                            <w:lang w:val="fr-FR" w:eastAsia="fr-F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false"/>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2" behindDoc="1" locked="0" layoutInCell="0" allowOverlap="0">
          <wp:simplePos x="0" y="0"/>
          <wp:positionH relativeFrom="margin">
            <wp:posOffset>0</wp:posOffset>
          </wp:positionH>
          <wp:positionV relativeFrom="page">
            <wp:posOffset>144145</wp:posOffset>
          </wp:positionV>
          <wp:extent cx="2011680" cy="688340"/>
          <wp:effectExtent l="0" t="0" r="0" b="0"/>
          <wp:wrapSquare wrapText="bothSides"/>
          <wp:docPr id="1" name="Logo IGPDE" descr="Logo de l’IGP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GPDE" descr="Logo de l’IGPDE"/>
                  <pic:cNvPicPr>
                    <a:picLocks noChangeAspect="1" noChangeArrowheads="1"/>
                  </pic:cNvPicPr>
                </pic:nvPicPr>
                <pic:blipFill>
                  <a:blip r:embed="rId1"/>
                  <a:stretch>
                    <a:fillRect/>
                  </a:stretch>
                </pic:blipFill>
                <pic:spPr bwMode="auto">
                  <a:xfrm>
                    <a:off x="0" y="0"/>
                    <a:ext cx="2011680" cy="688340"/>
                  </a:xfrm>
                  <a:prstGeom prst="rect">
                    <a:avLst/>
                  </a:prstGeom>
                  <a:noFill/>
                </pic:spPr>
              </pic:pic>
            </a:graphicData>
          </a:graphic>
        </wp:anchor>
      </w:drawing>
    </w:r>
  </w:p>
</w:hdr>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arianne" w:hAnsi="Marianne" w:eastAsia="Marianne" w:cs="Marianne"/>
        <w:sz w:val="21"/>
        <w:szCs w:val="21"/>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0" w:before="0" w:after="0"/>
      <w:jc w:val="start"/>
    </w:pPr>
    <w:rPr>
      <w:rFonts w:ascii="Marianne" w:hAnsi="Marianne" w:eastAsia="Marianne" w:cs="Marianne"/>
      <w:color w:val="auto"/>
      <w:kern w:val="0"/>
      <w:sz w:val="18"/>
      <w:szCs w:val="21"/>
      <w:lang w:val="fr-FR" w:eastAsia="fr-FR" w:bidi="ar-SA"/>
    </w:rPr>
  </w:style>
  <w:style w:type="paragraph" w:styleId="Heading1">
    <w:name w:val="heading 1"/>
    <w:basedOn w:val="Normal"/>
    <w:next w:val="Normal"/>
    <w:link w:val="Titre1Car"/>
    <w:uiPriority w:val="9"/>
    <w:qFormat/>
    <w:pPr>
      <w:keepNext w:val="true"/>
      <w:keepLines/>
      <w:spacing w:before="120" w:after="120"/>
      <w:jc w:val="center"/>
      <w:outlineLvl w:val="0"/>
    </w:pPr>
    <w:rPr>
      <w:rFonts w:ascii="Marianne" w:hAnsi="Marianne" w:eastAsia="Marianne" w:cs="Marianne"/>
      <w:b/>
      <w:bCs/>
      <w:color w:themeColor="background1" w:val="FFFFFF"/>
      <w:sz w:val="18"/>
      <w:szCs w:val="21"/>
      <w:lang w:val="fr-FR" w:eastAsia="fr-FR"/>
    </w:rPr>
  </w:style>
  <w:style w:type="paragraph" w:styleId="Heading2">
    <w:name w:val="heading 2"/>
    <w:basedOn w:val="Normal"/>
    <w:next w:val="Normal"/>
    <w:link w:val="Titre2Car"/>
    <w:uiPriority w:val="9"/>
    <w:unhideWhenUsed/>
    <w:qFormat/>
    <w:pPr>
      <w:keepNext w:val="true"/>
      <w:keepLines/>
      <w:spacing w:before="40" w:after="0"/>
      <w:outlineLvl w:val="1"/>
    </w:pPr>
    <w:rPr>
      <w:rFonts w:ascii="Marianne" w:hAnsi="Marianne" w:eastAsia="Marianne" w:cs="Marianne"/>
      <w:b/>
      <w:color w:val="000091"/>
      <w:sz w:val="18"/>
      <w:szCs w:val="21"/>
      <w:lang w:val="fr-FR" w:eastAsia="fr-FR"/>
    </w:rPr>
  </w:style>
  <w:style w:type="character" w:styleId="DefaultParagraphFont" w:default="1">
    <w:name w:val="Default Paragraph Font"/>
    <w:uiPriority w:val="1"/>
    <w:semiHidden/>
    <w:unhideWhenUsed/>
    <w:qFormat/>
    <w:rPr>
      <w:rFonts w:ascii="Marianne" w:hAnsi="Marianne" w:eastAsia="Marianne" w:cs="Marianne"/>
      <w:sz w:val="21"/>
      <w:szCs w:val="21"/>
      <w:lang w:val="fr-FR" w:eastAsia="fr-FR"/>
    </w:rPr>
  </w:style>
  <w:style w:type="character" w:styleId="TextedebullesCar" w:customStyle="1">
    <w:name w:val="Texte de bulles Car"/>
    <w:basedOn w:val="DefaultParagraphFont"/>
    <w:link w:val="BalloonText"/>
    <w:uiPriority w:val="99"/>
    <w:semiHidden/>
    <w:qFormat/>
    <w:rPr>
      <w:rFonts w:ascii="Marianne" w:hAnsi="Marianne" w:eastAsia="Marianne" w:cs="Marianne"/>
      <w:sz w:val="21"/>
      <w:szCs w:val="21"/>
      <w:lang w:val="fr-FR" w:eastAsia="fr-FR"/>
    </w:rPr>
  </w:style>
  <w:style w:type="character" w:styleId="En-tteCar" w:customStyle="1">
    <w:name w:val="En-tête Car"/>
    <w:basedOn w:val="DefaultParagraphFont"/>
    <w:link w:val="Header"/>
    <w:uiPriority w:val="99"/>
    <w:qFormat/>
    <w:rPr>
      <w:rFonts w:ascii="Marianne" w:hAnsi="Marianne" w:eastAsia="Marianne" w:cs="Marianne"/>
      <w:sz w:val="21"/>
      <w:szCs w:val="21"/>
      <w:lang w:val="fr-FR" w:eastAsia="fr-FR"/>
    </w:rPr>
  </w:style>
  <w:style w:type="character" w:styleId="PieddepageCar" w:customStyle="1">
    <w:name w:val="Pied de page Car"/>
    <w:basedOn w:val="DefaultParagraphFont"/>
    <w:link w:val="Footer"/>
    <w:uiPriority w:val="99"/>
    <w:qFormat/>
    <w:rPr>
      <w:rFonts w:ascii="Marianne" w:hAnsi="Marianne" w:eastAsia="Marianne" w:cs="Marianne"/>
      <w:sz w:val="21"/>
      <w:szCs w:val="21"/>
      <w:lang w:val="fr-FR" w:eastAsia="fr-FR"/>
    </w:rPr>
  </w:style>
  <w:style w:type="character" w:styleId="notion-enable-hover" w:customStyle="1">
    <w:name w:val="notion-enable-hover"/>
    <w:basedOn w:val="DefaultParagraphFont"/>
    <w:qFormat/>
    <w:rPr>
      <w:rFonts w:ascii="Marianne" w:hAnsi="Marianne" w:eastAsia="Marianne" w:cs="Marianne"/>
      <w:sz w:val="21"/>
      <w:szCs w:val="21"/>
      <w:lang w:val="fr-FR" w:eastAsia="fr-FR"/>
    </w:rPr>
  </w:style>
  <w:style w:type="character" w:styleId="Titre1Car" w:customStyle="1">
    <w:name w:val="Titre 1 Car"/>
    <w:basedOn w:val="DefaultParagraphFont"/>
    <w:link w:val="Heading1"/>
    <w:uiPriority w:val="9"/>
    <w:qFormat/>
    <w:rPr>
      <w:rFonts w:ascii="Marianne" w:hAnsi="Marianne" w:eastAsia="Marianne" w:cs="Marianne"/>
      <w:color w:themeColor="background1" w:val="FFFFFF"/>
      <w:sz w:val="21"/>
      <w:szCs w:val="21"/>
      <w:lang w:val="fr-FR" w:eastAsia="fr-FR"/>
    </w:rPr>
  </w:style>
  <w:style w:type="character" w:styleId="Titre2Car" w:customStyle="1">
    <w:name w:val="Titre 2 Car"/>
    <w:basedOn w:val="DefaultParagraphFont"/>
    <w:link w:val="Heading2"/>
    <w:uiPriority w:val="9"/>
    <w:qFormat/>
    <w:rPr>
      <w:rFonts w:ascii="Marianne" w:hAnsi="Marianne" w:eastAsia="Marianne" w:cs="Marianne"/>
      <w:b/>
      <w:color w:val="000091"/>
      <w:sz w:val="21"/>
      <w:szCs w:val="21"/>
      <w:lang w:val="fr-FR" w:eastAsia="fr-FR"/>
    </w:rPr>
  </w:style>
  <w:style w:type="character" w:styleId="bold" w:customStyle="1">
    <w:name w:val="bold"/>
    <w:basedOn w:val="DefaultParagraphFont"/>
    <w:qFormat/>
    <w:rPr>
      <w:rFonts w:ascii="Marianne" w:hAnsi="Marianne" w:eastAsia="Marianne" w:cs="Marianne"/>
      <w:sz w:val="21"/>
      <w:szCs w:val="21"/>
      <w:lang w:val="fr-FR" w:eastAsia="fr-FR"/>
    </w:rPr>
  </w:style>
  <w:style w:type="character" w:styleId="ng-star-inserted" w:customStyle="1">
    <w:name w:val="ng-star-inserted"/>
    <w:basedOn w:val="DefaultParagraphFont"/>
    <w:qFormat/>
    <w:rPr>
      <w:rFonts w:ascii="Marianne" w:hAnsi="Marianne" w:eastAsia="Marianne" w:cs="Marianne"/>
      <w:sz w:val="21"/>
      <w:szCs w:val="21"/>
      <w:lang w:val="fr-FR" w:eastAsia="fr-FR"/>
    </w:rPr>
  </w:style>
  <w:style w:type="character" w:styleId="Strong">
    <w:name w:val="Strong"/>
    <w:basedOn w:val="DefaultParagraphFont"/>
    <w:uiPriority w:val="22"/>
    <w:qFormat/>
    <w:rPr>
      <w:rFonts w:ascii="Marianne" w:hAnsi="Marianne" w:eastAsia="Marianne" w:cs="Marianne"/>
      <w:b/>
      <w:bCs/>
      <w:sz w:val="21"/>
      <w:szCs w:val="21"/>
      <w:lang w:val="fr-FR" w:eastAsia="fr-FR"/>
    </w:rPr>
  </w:style>
  <w:style w:type="character" w:styleId="TitreCar" w:customStyle="1">
    <w:name w:val="Titre Car"/>
    <w:basedOn w:val="DefaultParagraphFont"/>
    <w:link w:val="Title"/>
    <w:uiPriority w:val="10"/>
    <w:qFormat/>
    <w:rPr>
      <w:rFonts w:ascii="Marianne" w:hAnsi="Marianne" w:eastAsia="Marianne" w:cs="Marianne"/>
      <w:spacing w:val="-10"/>
      <w:kern w:val="2"/>
      <w:sz w:val="21"/>
      <w:szCs w:val="21"/>
      <w:lang w:val="fr-FR" w:eastAsia="fr-FR"/>
    </w:rPr>
  </w:style>
  <w:style w:type="character" w:styleId="CommentReference">
    <w:name w:val="annotation reference"/>
    <w:basedOn w:val="DefaultParagraphFont"/>
    <w:uiPriority w:val="99"/>
    <w:semiHidden/>
    <w:unhideWhenUsed/>
    <w:qFormat/>
    <w:rPr>
      <w:rFonts w:ascii="Marianne" w:hAnsi="Marianne" w:eastAsia="Marianne" w:cs="Marianne"/>
      <w:sz w:val="21"/>
      <w:szCs w:val="21"/>
      <w:lang w:val="fr-FR" w:eastAsia="fr-FR"/>
    </w:rPr>
  </w:style>
  <w:style w:type="character" w:styleId="CommentaireCar" w:customStyle="1">
    <w:name w:val="Commentaire Car"/>
    <w:basedOn w:val="DefaultParagraphFont"/>
    <w:link w:val="CommentText"/>
    <w:uiPriority w:val="99"/>
    <w:semiHidden/>
    <w:qFormat/>
    <w:rPr>
      <w:rFonts w:ascii="Marianne" w:hAnsi="Marianne" w:eastAsia="Marianne" w:cs="Marianne"/>
      <w:sz w:val="21"/>
      <w:szCs w:val="21"/>
      <w:lang w:val="fr-FR" w:eastAsia="fr-FR"/>
    </w:rPr>
  </w:style>
  <w:style w:type="character" w:styleId="ObjetducommentaireCar" w:customStyle="1">
    <w:name w:val="Objet du commentaire Car"/>
    <w:basedOn w:val="CommentaireCar"/>
    <w:link w:val="annotationsubject"/>
    <w:uiPriority w:val="99"/>
    <w:semiHidden/>
    <w:qFormat/>
    <w:rPr>
      <w:rFonts w:ascii="Marianne" w:hAnsi="Marianne" w:eastAsia="Marianne" w:cs="Marianne"/>
      <w:b/>
      <w:bCs/>
      <w:sz w:val="21"/>
      <w:szCs w:val="21"/>
      <w:lang w:val="fr-FR" w:eastAsia="fr-FR"/>
    </w:rPr>
  </w:style>
  <w:style w:type="character" w:styleId="PageNumber">
    <w:name w:val="page number"/>
    <w:basedOn w:val="DefaultParagraphFont"/>
    <w:uiPriority w:val="99"/>
    <w:semiHidden/>
    <w:unhideWhenUsed/>
    <w:rsid w:val="00114a00"/>
    <w:rPr>
      <w:rFonts w:ascii="Marianne" w:hAnsi="Marianne" w:eastAsia="Marianne" w:cs="Marianne"/>
      <w:sz w:val="21"/>
      <w:szCs w:val="21"/>
      <w:lang w:val="fr-FR" w:eastAsia="fr-F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uiPriority w:val="99"/>
    <w:semiHidden/>
    <w:unhideWhenUsed/>
    <w:qFormat/>
    <w:pPr>
      <w:spacing w:beforeAutospacing="1" w:afterAutospacing="1"/>
    </w:pPr>
    <w:rPr>
      <w:rFonts w:ascii="Marianne" w:hAnsi="Marianne" w:eastAsia="Marianne" w:cs="Marianne"/>
      <w:sz w:val="21"/>
      <w:szCs w:val="21"/>
      <w:lang w:val="fr-FR" w:eastAsia="fr-FR"/>
    </w:rPr>
  </w:style>
  <w:style w:type="paragraph" w:styleId="BalloonText">
    <w:name w:val="Balloon Text"/>
    <w:basedOn w:val="Normal"/>
    <w:link w:val="TextedebullesCar"/>
    <w:uiPriority w:val="99"/>
    <w:semiHidden/>
    <w:unhideWhenUsed/>
    <w:qFormat/>
    <w:pPr/>
    <w:rPr>
      <w:rFonts w:ascii="Marianne" w:hAnsi="Marianne" w:eastAsia="Marianne" w:cs="Marianne"/>
      <w:sz w:val="21"/>
      <w:szCs w:val="21"/>
      <w:lang w:val="fr-FR" w:eastAsia="fr-FR"/>
    </w:rPr>
  </w:style>
  <w:style w:type="paragraph" w:styleId="HeaderandFooter">
    <w:name w:val="Header and Footer"/>
    <w:basedOn w:val="Normal"/>
    <w:qFormat/>
    <w:pPr/>
    <w:rPr/>
  </w:style>
  <w:style w:type="paragraph" w:styleId="Header">
    <w:name w:val="header"/>
    <w:basedOn w:val="Normal"/>
    <w:link w:val="En-tteCar"/>
    <w:uiPriority w:val="99"/>
    <w:unhideWhenUsed/>
    <w:pPr>
      <w:tabs>
        <w:tab w:val="clear" w:pos="708"/>
        <w:tab w:val="center" w:pos="4536" w:leader="none"/>
        <w:tab w:val="right" w:pos="9072" w:leader="none"/>
      </w:tabs>
    </w:pPr>
    <w:rPr>
      <w:rFonts w:ascii="Marianne" w:hAnsi="Marianne" w:eastAsia="Marianne" w:cs="Marianne"/>
      <w:sz w:val="21"/>
      <w:szCs w:val="21"/>
      <w:lang w:val="fr-FR" w:eastAsia="fr-FR"/>
    </w:rPr>
  </w:style>
  <w:style w:type="paragraph" w:styleId="Footer">
    <w:name w:val="footer"/>
    <w:basedOn w:val="Normal"/>
    <w:link w:val="PieddepageCar"/>
    <w:uiPriority w:val="99"/>
    <w:unhideWhenUsed/>
    <w:pPr>
      <w:tabs>
        <w:tab w:val="clear" w:pos="708"/>
        <w:tab w:val="center" w:pos="4536" w:leader="none"/>
        <w:tab w:val="right" w:pos="9072" w:leader="none"/>
      </w:tabs>
    </w:pPr>
    <w:rPr>
      <w:rFonts w:ascii="Marianne" w:hAnsi="Marianne" w:eastAsia="Marianne" w:cs="Marianne"/>
      <w:sz w:val="21"/>
      <w:szCs w:val="21"/>
      <w:lang w:val="fr-FR" w:eastAsia="fr-FR"/>
    </w:rPr>
  </w:style>
  <w:style w:type="paragraph" w:styleId="ListParagraph">
    <w:name w:val="List Paragraph"/>
    <w:basedOn w:val="Normal"/>
    <w:uiPriority w:val="1"/>
    <w:qFormat/>
    <w:pPr>
      <w:spacing w:before="0" w:after="0"/>
      <w:ind w:start="720"/>
      <w:contextualSpacing/>
    </w:pPr>
    <w:rPr>
      <w:rFonts w:ascii="Marianne" w:hAnsi="Marianne" w:eastAsia="Marianne" w:cs="Marianne"/>
      <w:sz w:val="21"/>
      <w:szCs w:val="21"/>
      <w:lang w:val="fr-FR" w:eastAsia="fr-FR"/>
    </w:rPr>
  </w:style>
  <w:style w:type="paragraph" w:styleId="whitespace-pre-wrap" w:customStyle="1">
    <w:name w:val="whitespace-pre-wrap"/>
    <w:basedOn w:val="Normal"/>
    <w:qFormat/>
    <w:pPr>
      <w:spacing w:beforeAutospacing="1" w:afterAutospacing="1"/>
    </w:pPr>
    <w:rPr>
      <w:rFonts w:ascii="Marianne" w:hAnsi="Marianne" w:eastAsia="Marianne" w:cs="Marianne"/>
      <w:b/>
      <w:bCs/>
      <w:sz w:val="21"/>
      <w:szCs w:val="21"/>
      <w:lang w:val="fr-FR" w:eastAsia="fr-FR"/>
    </w:rPr>
  </w:style>
  <w:style w:type="paragraph" w:styleId="ql-indent-1" w:customStyle="1">
    <w:name w:val="ql-indent-1"/>
    <w:basedOn w:val="Normal"/>
    <w:qFormat/>
    <w:pPr>
      <w:spacing w:beforeAutospacing="1" w:afterAutospacing="1"/>
    </w:pPr>
    <w:rPr>
      <w:rFonts w:ascii="Marianne" w:hAnsi="Marianne" w:eastAsia="Marianne" w:cs="Marianne"/>
      <w:b/>
      <w:bCs/>
      <w:sz w:val="21"/>
      <w:szCs w:val="21"/>
      <w:lang w:val="fr-FR" w:eastAsia="fr-FR"/>
    </w:rPr>
  </w:style>
  <w:style w:type="paragraph" w:styleId="Title">
    <w:name w:val="Title"/>
    <w:basedOn w:val="Normal"/>
    <w:next w:val="Normal"/>
    <w:link w:val="TitreCar"/>
    <w:uiPriority w:val="10"/>
    <w:qFormat/>
    <w:pPr>
      <w:spacing w:before="0" w:after="0"/>
      <w:contextualSpacing/>
    </w:pPr>
    <w:rPr>
      <w:rFonts w:ascii="Marianne" w:hAnsi="Marianne" w:eastAsia="Marianne" w:cs="Marianne"/>
      <w:spacing w:val="-10"/>
      <w:kern w:val="2"/>
      <w:sz w:val="21"/>
      <w:szCs w:val="21"/>
      <w:lang w:val="fr-FR" w:eastAsia="fr-FR"/>
    </w:rPr>
  </w:style>
  <w:style w:type="paragraph" w:styleId="Revision">
    <w:name w:val="Revision"/>
    <w:uiPriority w:val="99"/>
    <w:semiHidden/>
    <w:qFormat/>
    <w:pPr>
      <w:widowControl/>
      <w:bidi w:val="0"/>
      <w:spacing w:lineRule="auto" w:line="240" w:before="0" w:after="0"/>
      <w:jc w:val="start"/>
    </w:pPr>
    <w:rPr>
      <w:rFonts w:ascii="Marianne" w:hAnsi="Marianne" w:eastAsia="Marianne" w:cs="Marianne"/>
      <w:color w:val="auto"/>
      <w:kern w:val="0"/>
      <w:sz w:val="21"/>
      <w:szCs w:val="21"/>
      <w:lang w:val="fr-FR" w:eastAsia="fr-FR" w:bidi="ar-SA"/>
    </w:rPr>
  </w:style>
  <w:style w:type="paragraph" w:styleId="CommentText">
    <w:name w:val="annotation text"/>
    <w:basedOn w:val="Normal"/>
    <w:link w:val="CommentaireCar"/>
    <w:uiPriority w:val="99"/>
    <w:semiHidden/>
    <w:unhideWhenUsed/>
    <w:pPr/>
    <w:rPr>
      <w:rFonts w:ascii="Marianne" w:hAnsi="Marianne" w:eastAsia="Marianne" w:cs="Marianne"/>
      <w:sz w:val="21"/>
      <w:szCs w:val="21"/>
      <w:lang w:val="fr-FR" w:eastAsia="fr-FR"/>
    </w:rPr>
  </w:style>
  <w:style w:type="paragraph" w:styleId="annotationsubject">
    <w:name w:val="annotation subject"/>
    <w:basedOn w:val="CommentText"/>
    <w:next w:val="CommentText"/>
    <w:link w:val="ObjetducommentaireCar"/>
    <w:uiPriority w:val="99"/>
    <w:semiHidden/>
    <w:unhideWhenUsed/>
    <w:qFormat/>
    <w:pPr/>
    <w:rPr>
      <w:rFonts w:ascii="Marianne" w:hAnsi="Marianne" w:eastAsia="Marianne" w:cs="Marianne"/>
      <w:b/>
      <w:bCs/>
      <w:sz w:val="21"/>
      <w:szCs w:val="21"/>
      <w:lang w:val="fr-FR" w:eastAsia="fr-F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rPr>
      <w:sz w:val="21"/>
      <w:szCs w:val="21"/>
      <w:lang w:val="fr-FR" w:eastAsia="fr-FR"/>
    </w:rPr>
    <w:tblPr>
      <w:tblCellMar>
        <w:top w:w="0" w:type="dxa"/>
        <w:left w:w="108" w:type="dxa"/>
        <w:bottom w:w="0" w:type="dxa"/>
        <w:right w:w="108" w:type="dxa"/>
      </w:tblCellMar>
    </w:tblPr>
  </w:style>
  <w:style w:type="table" w:styleId="TableauGrille5Fonc-Accentuation5">
    <w:name w:val="Grid Table 5 Dark Accent 5"/>
    <w:basedOn w:val="TableauNormal"/>
    <w:uiPriority w:val="50"/>
    <w:pPr>
      <w:spacing w:after="0" w:line="240" w:lineRule="auto"/>
    </w:pPr>
    <w:rPr>
      <w:sz w:val="21"/>
      <w:szCs w:val="21"/>
      <w:lang w:val="fr-FR" w:eastAsia="fr-FR"/>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sz w:val="21"/>
        <w:szCs w:val="21"/>
        <w:lang w:val="fr-FR" w:eastAsia="fr-FR"/>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sz w:val="21"/>
        <w:szCs w:val="21"/>
        <w:lang w:val="fr-FR" w:eastAsia="fr-FR"/>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sz w:val="21"/>
        <w:szCs w:val="21"/>
        <w:lang w:val="fr-FR" w:eastAsia="fr-FR"/>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sz w:val="21"/>
        <w:szCs w:val="21"/>
        <w:lang w:val="fr-FR" w:eastAsia="fr-FR"/>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lledutableau">
    <w:name w:val="Table Grid"/>
    <w:basedOn w:val="TableauNormal"/>
    <w:uiPriority w:val="39"/>
    <w:pPr>
      <w:spacing w:after="0" w:line="240" w:lineRule="auto"/>
    </w:pPr>
    <w:rPr>
      <w:sz w:val="21"/>
      <w:szCs w:val="21"/>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1">
    <w:name w:val="Grid Table 1 Light Accent 1"/>
    <w:basedOn w:val="TableauNormal"/>
    <w:uiPriority w:val="46"/>
    <w:pPr>
      <w:spacing w:after="0" w:line="240" w:lineRule="auto"/>
    </w:pPr>
    <w:rPr>
      <w:sz w:val="21"/>
      <w:szCs w:val="21"/>
      <w:lang w:val="fr-FR" w:eastAsia="fr-FR"/>
    </w:r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sz w:val="21"/>
        <w:szCs w:val="21"/>
        <w:lang w:val="fr-FR" w:eastAsia="fr-FR"/>
      </w:rPr>
      <w:tblPr/>
      <w:tcPr>
        <w:tcBorders>
          <w:bottom w:val="single" w:color="9CC2E5" w:themeColor="accent1" w:sz="12" w:space="0"/>
        </w:tcBorders>
      </w:tcPr>
    </w:tblStylePr>
    <w:tblStylePr w:type="lastRow">
      <w:rPr>
        <w:b/>
        <w:bCs/>
        <w:sz w:val="21"/>
        <w:szCs w:val="21"/>
        <w:lang w:val="fr-FR" w:eastAsia="fr-FR"/>
      </w:rPr>
      <w:tblPr/>
      <w:tcPr>
        <w:tcBorders>
          <w:top w:val="double" w:color="9CC2E5" w:themeColor="accent1" w:sz="2" w:space="0"/>
        </w:tcBorders>
      </w:tcPr>
    </w:tblStylePr>
    <w:tblStylePr w:type="firstCol">
      <w:rPr>
        <w:b/>
        <w:bCs/>
        <w:sz w:val="21"/>
        <w:szCs w:val="21"/>
        <w:lang w:val="fr-FR" w:eastAsia="fr-FR"/>
      </w:rPr>
      <w:tblPr/>
    </w:tblStylePr>
    <w:tblStylePr w:type="lastCol">
      <w:rPr>
        <w:b/>
        <w:bCs/>
        <w:sz w:val="21"/>
        <w:szCs w:val="21"/>
        <w:lang w:val="fr-FR" w:eastAsia="fr-FR"/>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A656A-C0A1-F943-8BBE-323E451C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LibreOffice/26.2.4.2$MacOSX_AARCH64 LibreOffice_project/0229ac93fcf0d7cbc6376066c6f35021cef002dc</Application>
  <AppVersion>15.0000</AppVersion>
  <Pages>8</Pages>
  <Words>1493</Words>
  <Characters>8213</Characters>
  <CharactersWithSpaces>9687</CharactersWithSpaces>
  <Paragraphs>19</Paragraphs>
  <Company>Secrétariat Général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2024-10-02T10:15:00Z</dcterms:created>
  <dc:creator>IGPDE</dc:creator>
  <dc:description>Document actualisé à partir de la fiche catalogue V2, du programme V2 et du support formation-102846-juin-2026.pptx.</dc:description>
  <cp:keywords>accessibilité numérique bureautique web réseaux sociaux IGPDE 102846</cp:keywords>
  <dc:language>fr-FR</dc:language>
  <cp:lastModifiedBy>Alexandra Guiderdoni</cp:lastModifiedBy>
  <dcterms:modified xsi:type="dcterms:W3CDTF">2024-11-25T18:37:00Z</dcterms:modified>
  <cp:revision>23</cp:revision>
  <dc:subject>Formation IGPDE 102846</dc:subject>
  <dc:title>Déroulé pédagogique - L'accessibilité numérique pour la bureautique et le web</dc:title>
</cp:coreProperties>
</file>

<file path=docProps/custom.xml><?xml version="1.0" encoding="utf-8"?>
<Properties xmlns="http://schemas.openxmlformats.org/officeDocument/2006/custom-properties" xmlns:vt="http://schemas.openxmlformats.org/officeDocument/2006/docPropsVTypes"/>
</file>