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91"/>
          <w:sz w:val="32"/>
        </w:rPr>
        <w:t>Introduction</w:t>
      </w:r>
    </w:p>
    <w:p>
      <w:r>
        <w:t>Ce rapport trimestriel présente les résultats de communication numérique de la Direction des affaires juridiques pour le premier trimestre 2025. Il couvre les principaux indicateurs de performance de nos canaux digitaux.</w:t>
      </w:r>
    </w:p>
    <w:p>
      <w:r>
        <w:rPr>
          <w:rFonts w:ascii="Arial" w:hAnsi="Arial"/>
          <w:b/>
          <w:color w:val="000091"/>
          <w:sz w:val="28"/>
        </w:rPr>
        <w:t>Sommaire</w:t>
      </w:r>
    </w:p>
    <w:p>
      <w:r>
        <w:t>Résultats du trimestre .............. 2</w:t>
      </w:r>
    </w:p>
    <w:p>
      <w:r>
        <w:t>Détail par canal .............. 3</w:t>
      </w:r>
    </w:p>
    <w:p>
      <w:r>
        <w:t>Organisation du service .............. 4</w:t>
      </w:r>
    </w:p>
    <w:p>
      <w:r>
        <w:t>Contact .............. 5</w:t>
      </w:r>
    </w:p>
    <w:p>
      <w:r>
        <w:t>Annexes .............. 5</w:t>
      </w:r>
    </w:p>
    <w:p/>
    <w:p>
      <w:r>
        <w:rPr>
          <w:rFonts w:ascii="Arial" w:hAnsi="Arial"/>
          <w:color w:val="FF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r>
        <w:rPr>
          <w:rFonts w:ascii="Arial" w:hAnsi="Arial"/>
          <w:b/>
          <w:color w:val="000091"/>
          <w:sz w:val="28"/>
        </w:rP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Indicateur</w:t>
            </w:r>
          </w:p>
        </w:tc>
        <w:tc>
          <w:tcPr>
            <w:tcW w:type="dxa" w:w="2160"/>
          </w:tcPr>
          <w:p>
            <w:r>
              <w:t>T4 2024</w:t>
            </w:r>
          </w:p>
        </w:tc>
        <w:tc>
          <w:tcPr>
            <w:tcW w:type="dxa" w:w="2160"/>
          </w:tcPr>
          <w:p>
            <w:r>
              <w:t>T1 2025</w:t>
            </w:r>
          </w:p>
        </w:tc>
        <w:tc>
          <w:tcPr>
            <w:tcW w:type="dxa" w:w="2160"/>
          </w:tcPr>
          <w:p>
            <w:r>
              <w:t>Évolution</w:t>
            </w:r>
          </w:p>
        </w:tc>
      </w:tr>
      <w:tr>
        <w:tc>
          <w:tcPr>
            <w:tcW w:type="dxa" w:w="2160"/>
          </w:tcPr>
          <w:p>
            <w:r>
              <w:t>Visiteurs uniques</w:t>
            </w:r>
          </w:p>
        </w:tc>
        <w:tc>
          <w:tcPr>
            <w:tcW w:type="dxa" w:w="2160"/>
          </w:tcPr>
          <w:p>
            <w:r>
              <w:t>45 200</w:t>
            </w:r>
          </w:p>
        </w:tc>
        <w:tc>
          <w:tcPr>
            <w:tcW w:type="dxa" w:w="2160"/>
          </w:tcPr>
          <w:p>
            <w:r>
              <w:t>50 600</w:t>
            </w:r>
          </w:p>
        </w:tc>
        <w:tc>
          <w:tcPr>
            <w:tcW w:type="dxa" w:w="2160"/>
          </w:tcPr>
          <w:p>
            <w:r>
              <w:t>+12 %</w:t>
            </w:r>
          </w:p>
        </w:tc>
      </w:tr>
      <w:tr>
        <w:tc>
          <w:tcPr>
            <w:tcW w:type="dxa" w:w="2160"/>
          </w:tcPr>
          <w:p>
            <w:r>
              <w:t>Pages vues</w:t>
            </w:r>
          </w:p>
        </w:tc>
        <w:tc>
          <w:tcPr>
            <w:tcW w:type="dxa" w:w="2160"/>
          </w:tcPr>
          <w:p>
            <w:r>
              <w:t>128 000</w:t>
            </w:r>
          </w:p>
        </w:tc>
        <w:tc>
          <w:tcPr>
            <w:tcW w:type="dxa" w:w="2160"/>
          </w:tcPr>
          <w:p>
            <w:r>
              <w:t>142 000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Taux de rebond</w:t>
            </w:r>
          </w:p>
        </w:tc>
        <w:tc>
          <w:tcPr>
            <w:tcW w:type="dxa" w:w="2160"/>
          </w:tcPr>
          <w:p>
            <w:r>
              <w:t>42 %</w:t>
            </w:r>
          </w:p>
        </w:tc>
        <w:tc>
          <w:tcPr>
            <w:tcW w:type="dxa" w:w="2160"/>
          </w:tcPr>
          <w:p>
            <w:r>
              <w:t>38 %</w:t>
            </w:r>
          </w:p>
        </w:tc>
        <w:tc>
          <w:tcPr>
            <w:tcW w:type="dxa" w:w="2160"/>
          </w:tcPr>
          <w:p>
            <w:r>
              <w:t>-4 pts</w:t>
            </w:r>
          </w:p>
        </w:tc>
      </w:tr>
    </w:tbl>
    <w:p/>
    <w:p/>
    <w:p/>
    <w:p/>
    <w:p>
      <w:r>
        <w:t>Objectifs du trimestre :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Augmenter le trafic de 10 %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Reduire le taux de rebond sous 40 %</w:t>
      </w:r>
    </w:p>
    <w:p>
      <w:r>
        <w:t>Priorites pour le prochain trimestre :</w:t>
      </w:r>
    </w:p>
    <w:p>
      <w:pPr>
        <w:ind w:left="504" w:hanging="259"/>
      </w:pPr>
      <w:r>
        <w:rPr>
          <w:rFonts w:ascii="Arial" w:hAnsi="Arial"/>
          <w:sz w:val="22"/>
        </w:rPr>
        <w:t>1.</w:t>
        <w:tab/>
        <w:t>Refonte de la page d'accueil</w:t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conformite accessibilite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Deploiement de la newsletter</w:t>
      </w:r>
    </w:p>
    <w:p/>
    <w:p>
      <w:r>
        <w:rPr>
          <w:rFonts w:ascii="Arial" w:hAnsi="Arial"/>
          <w:b/>
          <w:color w:val="000091"/>
          <w:sz w:val="24"/>
          <w:u w:val="single"/>
        </w:rPr>
        <w:t>Détail par canal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00091"/>
          <w:sz w:val="28"/>
        </w:rPr>
        <w:t>Organisation du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00091"/>
          <w:sz w:val="28"/>
        </w:rPr>
        <w:t>Contact</w:t>
      </w:r>
    </w:p>
    <w:p>
      <w:r>
        <w:t xml:space="preserve">Pour toute question, contactez-nous par </w:t>
      </w:r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e-mail pour plus d'informations.</w:t>
      </w:r>
    </w:p>
    <w:p>
      <w:r>
        <w:t>The quarterly report is available upon request. Please contact the communication department for further details.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00091"/>
          <w:sz w:val="24"/>
        </w:rPr>
        <w:t>Répartition par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rFonts w:ascii="Arial" w:hAnsi="Arial"/>
                <w:b/>
                <w:sz w:val="20"/>
              </w:rPr>
              <w:t>Direction des affaires juridiques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Effectif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Budget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/>
    <w:p>
      <w:r>
        <w:rPr>
          <w:rFonts w:ascii="Arial" w:hAnsi="Arial"/>
          <w:b/>
          <w:color w:val="000091"/>
          <w:sz w:val="28"/>
        </w:rPr>
        <w:t>ANNEXES</w:t>
      </w:r>
    </w:p>
    <w:p>
      <w:r>
        <w:t xml:space="preserve">Pour accéder aux annexes, </w:t>
      </w:r>
      <w:hyperlink r:id="rId15">
        <w:r>
          <w:rPr>
            <w:color w:val="0000FF"/>
            <w:u w:val="single"/>
          </w:rPr>
          <w:t>cliquez ici</w:t>
        </w:r>
      </w:hyperlink>
      <w:r>
        <w:t>.</w:t>
      </w:r>
    </w:p>
    <w:p>
      <w:r>
        <w:rPr>
          <w:rFonts w:ascii="Arial" w:hAnsi="Arial"/>
          <w:color w:val="767676"/>
          <w:sz w:val="18"/>
        </w:rPr>
        <w:t>Note : les données sont provisoires et susceptibles d’ajustements lors de la consolidation finale.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Rapport trimestriel - Bilan T1 2025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Direction des affaires juridiques - Rapport trimestriel T1 2025</w:t>
    </w:r>
    <w:r>
      <w:rPr>
        <w:noProof/>
      </w:rPr>
      <w:pict>
        <v:shapetype id="_x0000_t136" coordsize="21600,21600" o:spt="136" path="m@7,l@8,m@5,21600l@6,21600e">
          <v:formulas>
            <v:f eqn="sum #0 0 10800"/>
          </v:formulas>
          <v:path textpathok="t"/>
          <v:textpath on="t" fitshape="t"/>
          <o:lock v:ext="edit" text="t" shapetype="t"/>
        </v:shapetype>
        <v:shape id="WaterMark" o:spid="_x0000_s2049" type="#_x0000_t136" style="position:absolute;margin-left:0;margin-top:0;width:500pt;height:100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EL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example.org/annexes-rapport-t1-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